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白城市公共资源</w:t>
      </w:r>
    </w:p>
    <w:p>
      <w:pPr>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交易信息发布和数据上报核查制度</w:t>
      </w:r>
    </w:p>
    <w:p>
      <w:pPr>
        <w:spacing w:line="500" w:lineRule="exact"/>
        <w:jc w:val="center"/>
        <w:rPr>
          <w:rFonts w:ascii="仿宋_GB2312" w:hAnsi="仿宋_GB2312" w:cs="仿宋_GB2312"/>
          <w:color w:val="000000" w:themeColor="text1"/>
          <w:szCs w:val="32"/>
          <w14:textFill>
            <w14:solidFill>
              <w14:schemeClr w14:val="tx1"/>
            </w14:solidFill>
          </w14:textFill>
        </w:rPr>
      </w:pPr>
      <w:r>
        <w:rPr>
          <w:rFonts w:hint="eastAsia" w:ascii="方正小标宋_GBK" w:hAnsi="方正小标宋_GBK" w:eastAsia="方正小标宋_GBK" w:cs="方正小标宋_GBK"/>
          <w:sz w:val="44"/>
          <w:szCs w:val="44"/>
        </w:rPr>
        <w:t>（试行）</w:t>
      </w:r>
    </w:p>
    <w:p>
      <w:pPr>
        <w:pStyle w:val="5"/>
        <w:widowControl/>
        <w:numPr>
          <w:ilvl w:val="0"/>
          <w:numId w:val="1"/>
        </w:numPr>
        <w:spacing w:line="600" w:lineRule="atLeas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总则</w:t>
      </w:r>
    </w:p>
    <w:p>
      <w:pPr>
        <w:pStyle w:val="5"/>
        <w:widowControl/>
        <w:spacing w:line="600" w:lineRule="atLeast"/>
        <w:ind w:firstLine="632" w:firstLineChars="200"/>
        <w:rPr>
          <w:rFonts w:ascii="仿宋" w:hAnsi="仿宋" w:eastAsia="仿宋"/>
          <w:sz w:val="32"/>
          <w:szCs w:val="32"/>
        </w:rPr>
      </w:pPr>
      <w:r>
        <w:rPr>
          <w:rFonts w:hint="eastAsia" w:ascii="仿宋" w:hAnsi="仿宋" w:eastAsia="仿宋"/>
          <w:sz w:val="32"/>
          <w:szCs w:val="32"/>
        </w:rPr>
        <w:t xml:space="preserve">第一条　为深入贯彻落实省、市关于公共资源交易信息发布和数据上传工作的部署要求，确保全市公共资源交易信息发布规范高效、数据上传真实客观，保证潜在投标人平等、便捷、准确的获取交易信息，根据有关法律法规和政策规定，结合本市实际，制订本制度。 </w:t>
      </w:r>
    </w:p>
    <w:p>
      <w:pPr>
        <w:pStyle w:val="5"/>
        <w:widowControl/>
        <w:spacing w:line="600" w:lineRule="atLeast"/>
        <w:ind w:firstLine="645"/>
        <w:rPr>
          <w:rFonts w:ascii="仿宋" w:hAnsi="仿宋" w:eastAsia="仿宋"/>
          <w:sz w:val="32"/>
          <w:szCs w:val="32"/>
        </w:rPr>
      </w:pPr>
      <w:r>
        <w:rPr>
          <w:rFonts w:hint="eastAsia" w:ascii="仿宋" w:hAnsi="仿宋" w:eastAsia="仿宋"/>
          <w:sz w:val="32"/>
          <w:szCs w:val="32"/>
        </w:rPr>
        <w:t>第二条　本制度适用于进入市公共资源交易中心及县（市、区）公共资源交易分支机构的交易项目（建设工程、政府采购、国有土地及矿业权、国有产权等）信息发布。</w:t>
      </w:r>
    </w:p>
    <w:p>
      <w:pPr>
        <w:pStyle w:val="5"/>
        <w:widowControl/>
        <w:spacing w:line="600" w:lineRule="atLeast"/>
        <w:ind w:right="-139" w:rightChars="-44" w:firstLine="645"/>
        <w:rPr>
          <w:rFonts w:ascii="仿宋" w:hAnsi="仿宋" w:eastAsia="仿宋"/>
          <w:sz w:val="32"/>
          <w:szCs w:val="32"/>
        </w:rPr>
      </w:pPr>
      <w:r>
        <w:rPr>
          <w:rFonts w:hint="eastAsia" w:ascii="仿宋" w:hAnsi="仿宋" w:eastAsia="仿宋"/>
          <w:sz w:val="32"/>
          <w:szCs w:val="32"/>
        </w:rPr>
        <w:t>第三条　本制度所称的信息发布，是指除涉及国家秘密、商业秘密，以及法律法规规定应予保密的信息以外，必须公开或可以公开的交易信息（资格预审公告、交易公告、变更公告、候选人公示、中标公示、成交结果等信息）。</w:t>
      </w:r>
    </w:p>
    <w:p>
      <w:pPr>
        <w:pStyle w:val="5"/>
        <w:widowControl/>
        <w:spacing w:line="600" w:lineRule="atLeast"/>
        <w:ind w:right="-139" w:rightChars="-44" w:firstLine="645"/>
        <w:rPr>
          <w:rFonts w:ascii="仿宋" w:hAnsi="仿宋" w:eastAsia="仿宋"/>
          <w:sz w:val="32"/>
          <w:szCs w:val="32"/>
        </w:rPr>
      </w:pPr>
      <w:r>
        <w:rPr>
          <w:rFonts w:hint="eastAsia" w:ascii="仿宋" w:hAnsi="仿宋" w:eastAsia="仿宋"/>
          <w:sz w:val="32"/>
          <w:szCs w:val="32"/>
        </w:rPr>
        <w:t>第四条　市政务服务和数字化建设管理局负责全市公共资源交易信息发布活动的监督和协调。</w:t>
      </w:r>
    </w:p>
    <w:p>
      <w:pPr>
        <w:pStyle w:val="5"/>
        <w:widowControl/>
        <w:numPr>
          <w:ilvl w:val="0"/>
          <w:numId w:val="1"/>
        </w:numPr>
        <w:snapToGrid w:val="0"/>
        <w:spacing w:line="600" w:lineRule="atLeast"/>
        <w:jc w:val="center"/>
        <w:rPr>
          <w:rFonts w:ascii="黑体" w:hAnsi="黑体" w:eastAsia="黑体"/>
          <w:sz w:val="32"/>
          <w:szCs w:val="32"/>
        </w:rPr>
      </w:pPr>
      <w:r>
        <w:rPr>
          <w:rFonts w:hint="eastAsia" w:ascii="黑体" w:hAnsi="黑体" w:eastAsia="黑体"/>
          <w:sz w:val="32"/>
          <w:szCs w:val="32"/>
        </w:rPr>
        <w:t>发布要求</w:t>
      </w:r>
    </w:p>
    <w:p>
      <w:pPr>
        <w:pStyle w:val="5"/>
        <w:widowControl/>
        <w:snapToGrid w:val="0"/>
        <w:spacing w:line="600" w:lineRule="atLeast"/>
        <w:ind w:firstLine="632" w:firstLineChars="200"/>
        <w:rPr>
          <w:rFonts w:ascii="仿宋" w:hAnsi="仿宋" w:eastAsia="仿宋"/>
          <w:sz w:val="32"/>
          <w:szCs w:val="32"/>
        </w:rPr>
      </w:pPr>
      <w:r>
        <w:rPr>
          <w:rFonts w:hint="eastAsia" w:ascii="仿宋" w:hAnsi="仿宋" w:eastAsia="仿宋"/>
          <w:sz w:val="32"/>
          <w:szCs w:val="32"/>
        </w:rPr>
        <w:t>第五条　“白城市公共资源交易服务平台”是市本级和所辖县（市、区）列入公共资源交易目录交易信息的统一发布媒介。根据不同项目的行业强制性规定和实际需要，在不同媒介上发布的同一项交易信息的内容必须一致。已发布的交易信息有错漏或变动，应及时发布变更公告，变更公告发布的媒体必须与原信息公告所发布的媒体相一致。</w:t>
      </w:r>
    </w:p>
    <w:p>
      <w:pPr>
        <w:pStyle w:val="5"/>
        <w:widowControl/>
        <w:snapToGrid w:val="0"/>
        <w:spacing w:line="600" w:lineRule="atLeast"/>
        <w:ind w:firstLine="645"/>
        <w:rPr>
          <w:rFonts w:ascii="仿宋" w:hAnsi="仿宋" w:eastAsia="仿宋"/>
          <w:sz w:val="32"/>
          <w:szCs w:val="32"/>
        </w:rPr>
      </w:pPr>
      <w:r>
        <w:rPr>
          <w:rFonts w:hint="eastAsia" w:ascii="仿宋" w:hAnsi="仿宋" w:eastAsia="仿宋"/>
          <w:sz w:val="32"/>
          <w:szCs w:val="32"/>
        </w:rPr>
        <w:t>第六条　交易信息的内容与时限必须符合相关法律法规和政策的规定，信息内容由项目单位或其招标（采购）代理机构按规定格式拟定，招标（采购）代理机构要依规对代理的公共资源交易项目信息发布负主体责任。</w:t>
      </w:r>
    </w:p>
    <w:p>
      <w:pPr>
        <w:ind w:firstLine="632" w:firstLineChars="200"/>
        <w:rPr>
          <w:rFonts w:ascii="仿宋" w:hAnsi="仿宋" w:eastAsia="仿宋"/>
          <w:sz w:val="32"/>
          <w:szCs w:val="32"/>
        </w:rPr>
      </w:pPr>
      <w:r>
        <w:rPr>
          <w:rFonts w:hint="eastAsia" w:ascii="仿宋" w:hAnsi="仿宋" w:eastAsia="仿宋"/>
          <w:sz w:val="32"/>
          <w:szCs w:val="32"/>
        </w:rPr>
        <w:t>第七条  市公共资源交</w:t>
      </w:r>
      <w:bookmarkStart w:id="0" w:name="_GoBack"/>
      <w:bookmarkEnd w:id="0"/>
      <w:r>
        <w:rPr>
          <w:rFonts w:hint="eastAsia" w:ascii="仿宋" w:hAnsi="仿宋" w:eastAsia="仿宋"/>
          <w:sz w:val="32"/>
          <w:szCs w:val="32"/>
        </w:rPr>
        <w:t>易中心及县（市、区）公共资源交易分支机构</w:t>
      </w:r>
      <w:r>
        <w:rPr>
          <w:rFonts w:hint="eastAsia" w:ascii="仿宋" w:hAnsi="仿宋" w:eastAsia="仿宋"/>
          <w:sz w:val="32"/>
          <w:szCs w:val="32"/>
          <w:lang w:eastAsia="zh-CN"/>
        </w:rPr>
        <w:t>的</w:t>
      </w:r>
      <w:r>
        <w:rPr>
          <w:rFonts w:hint="eastAsia" w:ascii="仿宋_GB2312" w:hAnsi="仿宋_GB2312" w:eastAsia="仿宋_GB2312" w:cs="仿宋_GB2312"/>
          <w:sz w:val="32"/>
          <w:szCs w:val="32"/>
          <w:lang w:eastAsia="zh-CN"/>
        </w:rPr>
        <w:t>交易信息</w:t>
      </w:r>
      <w:r>
        <w:rPr>
          <w:rFonts w:hint="eastAsia" w:ascii="仿宋_GB2312" w:hAnsi="仿宋_GB2312" w:cs="仿宋_GB2312"/>
          <w:sz w:val="32"/>
          <w:szCs w:val="32"/>
          <w:lang w:eastAsia="zh-CN"/>
        </w:rPr>
        <w:t>发布</w:t>
      </w:r>
      <w:r>
        <w:rPr>
          <w:rFonts w:hint="eastAsia" w:ascii="仿宋_GB2312" w:hAnsi="仿宋_GB2312" w:eastAsia="仿宋_GB2312" w:cs="仿宋_GB2312"/>
          <w:sz w:val="32"/>
          <w:szCs w:val="32"/>
          <w:lang w:eastAsia="zh-CN"/>
        </w:rPr>
        <w:t>截止时间统一</w:t>
      </w:r>
      <w:r>
        <w:rPr>
          <w:rFonts w:hint="eastAsia" w:ascii="仿宋" w:hAnsi="仿宋" w:eastAsia="仿宋"/>
          <w:sz w:val="32"/>
          <w:szCs w:val="32"/>
          <w:lang w:eastAsia="zh-CN"/>
        </w:rPr>
        <w:t>为每个工</w:t>
      </w:r>
      <w:r>
        <w:rPr>
          <w:rFonts w:hint="eastAsia" w:ascii="仿宋_GB2312" w:hAnsi="仿宋_GB2312" w:eastAsia="仿宋_GB2312" w:cs="仿宋_GB2312"/>
          <w:sz w:val="32"/>
          <w:szCs w:val="32"/>
          <w:lang w:eastAsia="zh-CN"/>
        </w:rPr>
        <w:t>作日</w:t>
      </w:r>
      <w:r>
        <w:rPr>
          <w:rFonts w:hint="eastAsia" w:ascii="仿宋_GB2312" w:hAnsi="仿宋_GB2312" w:eastAsia="仿宋_GB2312" w:cs="仿宋_GB2312"/>
          <w:sz w:val="32"/>
          <w:szCs w:val="32"/>
          <w:lang w:val="en-US" w:eastAsia="zh-CN"/>
        </w:rPr>
        <w:t>11:30分，超时信息</w:t>
      </w:r>
      <w:r>
        <w:rPr>
          <w:rFonts w:hint="eastAsia" w:ascii="仿宋_GB2312" w:hAnsi="仿宋_GB2312" w:eastAsia="仿宋_GB2312" w:cs="仿宋_GB2312"/>
          <w:sz w:val="32"/>
          <w:szCs w:val="32"/>
          <w:lang w:eastAsia="zh-CN"/>
        </w:rPr>
        <w:t>将移至次日发布，如遇节假日时间相应顺延，交易信息内各类时间节点均需相应顺延，各单位应合理安排信息发布前的准备工作，以免延误交易计划。</w:t>
      </w:r>
      <w:r>
        <w:rPr>
          <w:rFonts w:hint="eastAsia" w:ascii="仿宋" w:hAnsi="仿宋" w:eastAsia="仿宋"/>
          <w:sz w:val="32"/>
          <w:szCs w:val="32"/>
        </w:rPr>
        <w:t>确因特殊规定、特殊情况造成发布不及时的，须向上级平台说明原因，再进行推送。</w:t>
      </w:r>
    </w:p>
    <w:p>
      <w:pPr>
        <w:pStyle w:val="5"/>
        <w:widowControl/>
        <w:snapToGrid w:val="0"/>
        <w:spacing w:before="100" w:after="100" w:line="600" w:lineRule="atLeast"/>
        <w:ind w:firstLine="645"/>
        <w:rPr>
          <w:rFonts w:ascii="仿宋" w:hAnsi="仿宋" w:eastAsia="仿宋"/>
          <w:sz w:val="32"/>
          <w:szCs w:val="32"/>
        </w:rPr>
      </w:pPr>
      <w:r>
        <w:rPr>
          <w:rFonts w:hint="eastAsia" w:ascii="仿宋" w:hAnsi="仿宋" w:eastAsia="仿宋"/>
          <w:sz w:val="32"/>
          <w:szCs w:val="32"/>
        </w:rPr>
        <w:t>第八条  招标（采购）代理机构提交的交易公告、公示信息标题须具有行政区域+项目名称+交易方式（交易结果）三要素组成，为便于潜在投标人阅读理解，应统一字体及文本格式 (标题：2号宋体；正文：4号宋体、2倍行距、标准字间距)。在电子交易平台发布的交易信息，应当按规定加盖电子签章及电子签名。</w:t>
      </w:r>
    </w:p>
    <w:p>
      <w:pPr>
        <w:pStyle w:val="5"/>
        <w:widowControl/>
        <w:snapToGrid w:val="0"/>
        <w:spacing w:line="600" w:lineRule="atLeast"/>
        <w:ind w:firstLine="645"/>
        <w:rPr>
          <w:rFonts w:ascii="仿宋" w:hAnsi="仿宋" w:eastAsia="仿宋"/>
          <w:sz w:val="32"/>
          <w:szCs w:val="32"/>
        </w:rPr>
      </w:pPr>
      <w:r>
        <w:rPr>
          <w:rFonts w:hint="eastAsia" w:ascii="仿宋" w:hAnsi="仿宋" w:eastAsia="仿宋"/>
          <w:sz w:val="32"/>
          <w:szCs w:val="32"/>
        </w:rPr>
        <w:t>第九条  市本级交易项目由招标（采购）代理机构在电子交易平台发起项目注册，经行政监督部门审核后，市公共资源交易中心按照有关规定对交易信息及时性、完整性、规范性进行审核把关，然后再进行推送。除特殊规定、特殊情况外，电子交易平台发布的交易信息不得有以下条款出现：</w:t>
      </w:r>
    </w:p>
    <w:p>
      <w:pPr>
        <w:pStyle w:val="5"/>
        <w:widowControl/>
        <w:snapToGrid w:val="0"/>
        <w:spacing w:line="600" w:lineRule="atLeast"/>
        <w:ind w:firstLine="645"/>
        <w:rPr>
          <w:rFonts w:ascii="仿宋" w:hAnsi="仿宋" w:eastAsia="仿宋"/>
          <w:sz w:val="32"/>
          <w:szCs w:val="32"/>
        </w:rPr>
      </w:pPr>
      <w:r>
        <w:rPr>
          <w:rFonts w:hint="eastAsia" w:ascii="仿宋" w:hAnsi="仿宋" w:eastAsia="仿宋"/>
          <w:sz w:val="32"/>
          <w:szCs w:val="32"/>
        </w:rPr>
        <w:t>（一）以文字形式或其他方式向交易主体（供应商、投标人、竞买人）变相表述在电子交易平台外办理交易事宜；</w:t>
      </w:r>
    </w:p>
    <w:p>
      <w:pPr>
        <w:pStyle w:val="5"/>
        <w:widowControl/>
        <w:snapToGrid w:val="0"/>
        <w:spacing w:line="600" w:lineRule="atLeast"/>
        <w:ind w:firstLine="645"/>
        <w:rPr>
          <w:rFonts w:ascii="仿宋" w:hAnsi="仿宋" w:eastAsia="仿宋"/>
          <w:sz w:val="32"/>
          <w:szCs w:val="32"/>
        </w:rPr>
      </w:pPr>
      <w:r>
        <w:rPr>
          <w:rFonts w:hint="eastAsia" w:ascii="仿宋" w:hAnsi="仿宋" w:eastAsia="仿宋"/>
          <w:sz w:val="32"/>
          <w:szCs w:val="32"/>
        </w:rPr>
        <w:t>（二）在公共资源交易中心以外场地组织开评标活动。</w:t>
      </w:r>
    </w:p>
    <w:p>
      <w:pPr>
        <w:pStyle w:val="5"/>
        <w:widowControl/>
        <w:snapToGrid w:val="0"/>
        <w:spacing w:line="600" w:lineRule="atLeast"/>
        <w:ind w:firstLine="645"/>
        <w:rPr>
          <w:rFonts w:ascii="仿宋" w:hAnsi="仿宋" w:eastAsia="仿宋"/>
          <w:sz w:val="32"/>
          <w:szCs w:val="32"/>
        </w:rPr>
      </w:pPr>
      <w:r>
        <w:rPr>
          <w:rFonts w:hint="eastAsia" w:ascii="仿宋" w:hAnsi="仿宋" w:eastAsia="仿宋"/>
          <w:sz w:val="32"/>
          <w:szCs w:val="32"/>
        </w:rPr>
        <w:t>第十条  通过服务平台发布的交易信息由县（市、区）公共资源交易分支机构负责推送，分支机构应明确组织领导、责任分工，落实专人盯守把关，发现信息资料中有违反法律、法规或其他违规的地方，应当及时建议信息提供者进行修改，确保交易信息发布及时、完整、规范。在信息录入过程中重点核查以下内容：</w:t>
      </w:r>
    </w:p>
    <w:p>
      <w:pPr>
        <w:pStyle w:val="5"/>
        <w:widowControl/>
        <w:snapToGrid w:val="0"/>
        <w:spacing w:line="600" w:lineRule="atLeast"/>
        <w:ind w:firstLine="645"/>
        <w:rPr>
          <w:rFonts w:ascii="仿宋" w:hAnsi="仿宋" w:eastAsia="仿宋"/>
          <w:sz w:val="32"/>
          <w:szCs w:val="32"/>
        </w:rPr>
      </w:pPr>
      <w:r>
        <w:rPr>
          <w:rFonts w:hint="eastAsia" w:ascii="仿宋" w:hAnsi="仿宋" w:eastAsia="仿宋"/>
          <w:sz w:val="32"/>
          <w:szCs w:val="32"/>
        </w:rPr>
        <w:t>（一）建设工程</w:t>
      </w:r>
    </w:p>
    <w:p>
      <w:pPr>
        <w:pStyle w:val="5"/>
        <w:widowControl/>
        <w:snapToGrid w:val="0"/>
        <w:spacing w:line="600" w:lineRule="atLeast"/>
        <w:ind w:left="5" w:firstLine="632" w:firstLineChars="200"/>
        <w:rPr>
          <w:rFonts w:ascii="仿宋" w:hAnsi="仿宋" w:eastAsia="仿宋"/>
          <w:sz w:val="32"/>
          <w:szCs w:val="32"/>
        </w:rPr>
      </w:pPr>
      <w:r>
        <w:rPr>
          <w:rFonts w:hint="eastAsia" w:ascii="仿宋" w:hAnsi="仿宋" w:eastAsia="仿宋"/>
          <w:sz w:val="32"/>
          <w:szCs w:val="32"/>
        </w:rPr>
        <w:t>1.新增招标公告与资格预审公告页面，公告发布时间及时性；</w:t>
      </w:r>
    </w:p>
    <w:p>
      <w:pPr>
        <w:pStyle w:val="5"/>
        <w:widowControl/>
        <w:snapToGrid w:val="0"/>
        <w:spacing w:line="600" w:lineRule="atLeast"/>
        <w:ind w:left="5" w:firstLine="632" w:firstLineChars="200"/>
        <w:rPr>
          <w:rFonts w:ascii="仿宋" w:hAnsi="仿宋" w:eastAsia="仿宋"/>
          <w:sz w:val="32"/>
          <w:szCs w:val="32"/>
        </w:rPr>
      </w:pPr>
      <w:r>
        <w:rPr>
          <w:rFonts w:hint="eastAsia" w:ascii="仿宋" w:hAnsi="仿宋" w:eastAsia="仿宋"/>
          <w:sz w:val="32"/>
          <w:szCs w:val="32"/>
        </w:rPr>
        <w:t>2.新增中标候选人公示页面，公示提交时间和公示开始时间及时性、一致性；</w:t>
      </w:r>
    </w:p>
    <w:p>
      <w:pPr>
        <w:pStyle w:val="5"/>
        <w:widowControl/>
        <w:snapToGrid w:val="0"/>
        <w:spacing w:line="600" w:lineRule="atLeast"/>
        <w:ind w:left="5" w:firstLine="632" w:firstLineChars="200"/>
        <w:rPr>
          <w:rFonts w:ascii="仿宋" w:hAnsi="仿宋" w:eastAsia="仿宋"/>
          <w:sz w:val="32"/>
          <w:szCs w:val="32"/>
        </w:rPr>
      </w:pPr>
      <w:r>
        <w:rPr>
          <w:rFonts w:hint="eastAsia" w:ascii="仿宋" w:hAnsi="仿宋" w:eastAsia="仿宋"/>
          <w:sz w:val="32"/>
          <w:szCs w:val="32"/>
        </w:rPr>
        <w:t>3.新增中标结果公告页面，公告标题和正文规范性、公告发布时间及时性、中标金额与价格单位准确性。</w:t>
      </w:r>
    </w:p>
    <w:p>
      <w:pPr>
        <w:pStyle w:val="5"/>
        <w:widowControl/>
        <w:snapToGrid w:val="0"/>
        <w:spacing w:line="600" w:lineRule="atLeast"/>
        <w:ind w:firstLine="632" w:firstLineChars="200"/>
        <w:rPr>
          <w:rFonts w:ascii="仿宋" w:hAnsi="仿宋" w:eastAsia="仿宋"/>
          <w:sz w:val="32"/>
          <w:szCs w:val="32"/>
        </w:rPr>
      </w:pPr>
      <w:r>
        <w:rPr>
          <w:rFonts w:hint="eastAsia" w:ascii="仿宋" w:hAnsi="仿宋" w:eastAsia="仿宋"/>
          <w:sz w:val="32"/>
          <w:szCs w:val="32"/>
        </w:rPr>
        <w:t>（二）政府采购</w:t>
      </w:r>
    </w:p>
    <w:p>
      <w:pPr>
        <w:pStyle w:val="5"/>
        <w:widowControl/>
        <w:snapToGrid w:val="0"/>
        <w:spacing w:line="600" w:lineRule="atLeast"/>
        <w:ind w:firstLine="730" w:firstLineChars="231"/>
        <w:rPr>
          <w:rFonts w:ascii="仿宋" w:hAnsi="仿宋" w:eastAsia="仿宋"/>
          <w:sz w:val="32"/>
          <w:szCs w:val="32"/>
        </w:rPr>
      </w:pPr>
      <w:r>
        <w:rPr>
          <w:rFonts w:hint="eastAsia" w:ascii="仿宋" w:hAnsi="仿宋" w:eastAsia="仿宋"/>
          <w:sz w:val="32"/>
          <w:szCs w:val="32"/>
        </w:rPr>
        <w:t>1.新增采购（资格预审）公告页面，公告发布时间及时性、公告标题和正文规范性；</w:t>
      </w:r>
    </w:p>
    <w:p>
      <w:pPr>
        <w:pStyle w:val="5"/>
        <w:widowControl/>
        <w:snapToGrid w:val="0"/>
        <w:spacing w:line="600" w:lineRule="atLeast"/>
        <w:ind w:firstLine="730" w:firstLineChars="231"/>
        <w:rPr>
          <w:rFonts w:ascii="仿宋" w:hAnsi="仿宋" w:eastAsia="仿宋"/>
          <w:sz w:val="32"/>
          <w:szCs w:val="32"/>
        </w:rPr>
      </w:pPr>
      <w:r>
        <w:rPr>
          <w:rFonts w:hint="eastAsia" w:ascii="仿宋" w:hAnsi="仿宋" w:eastAsia="仿宋"/>
          <w:sz w:val="32"/>
          <w:szCs w:val="32"/>
        </w:rPr>
        <w:t>2.新增更正事项页面，公告标题与正文规范性；发布时间及时性；</w:t>
      </w:r>
    </w:p>
    <w:p>
      <w:pPr>
        <w:pStyle w:val="5"/>
        <w:widowControl/>
        <w:snapToGrid w:val="0"/>
        <w:spacing w:line="600" w:lineRule="atLeast"/>
        <w:ind w:firstLine="730" w:firstLineChars="231"/>
        <w:rPr>
          <w:rFonts w:ascii="仿宋" w:hAnsi="仿宋" w:eastAsia="仿宋"/>
          <w:sz w:val="32"/>
          <w:szCs w:val="32"/>
        </w:rPr>
      </w:pPr>
      <w:r>
        <w:rPr>
          <w:rFonts w:hint="eastAsia" w:ascii="仿宋" w:hAnsi="仿宋" w:eastAsia="仿宋"/>
          <w:sz w:val="32"/>
          <w:szCs w:val="32"/>
        </w:rPr>
        <w:t>3.新增中标（成交）结果公告页面，首次公告时间及时性、中标价格与价格单位准确性、公告标题与正文规范性；</w:t>
      </w:r>
    </w:p>
    <w:p>
      <w:pPr>
        <w:pStyle w:val="5"/>
        <w:widowControl/>
        <w:snapToGrid w:val="0"/>
        <w:spacing w:line="600" w:lineRule="atLeast"/>
        <w:ind w:firstLine="730" w:firstLineChars="231"/>
        <w:rPr>
          <w:rFonts w:ascii="仿宋" w:hAnsi="仿宋" w:eastAsia="仿宋"/>
          <w:sz w:val="32"/>
          <w:szCs w:val="32"/>
        </w:rPr>
      </w:pPr>
      <w:r>
        <w:rPr>
          <w:rFonts w:hint="eastAsia" w:ascii="仿宋" w:hAnsi="仿宋" w:eastAsia="仿宋"/>
          <w:sz w:val="32"/>
          <w:szCs w:val="32"/>
        </w:rPr>
        <w:t>4.新增采购合同页面，合同金额与金额单位准确性、合同签署时间发布及时性。</w:t>
      </w:r>
    </w:p>
    <w:p>
      <w:pPr>
        <w:pStyle w:val="5"/>
        <w:widowControl/>
        <w:snapToGrid w:val="0"/>
        <w:spacing w:line="600" w:lineRule="atLeast"/>
        <w:ind w:left="645"/>
        <w:rPr>
          <w:rFonts w:ascii="仿宋" w:hAnsi="仿宋" w:eastAsia="仿宋"/>
          <w:sz w:val="32"/>
          <w:szCs w:val="32"/>
        </w:rPr>
      </w:pPr>
      <w:r>
        <w:rPr>
          <w:rFonts w:hint="eastAsia" w:ascii="仿宋" w:hAnsi="仿宋" w:eastAsia="仿宋"/>
          <w:sz w:val="32"/>
          <w:szCs w:val="32"/>
        </w:rPr>
        <w:t>（三）国有产权、土地及矿业权</w:t>
      </w:r>
    </w:p>
    <w:p>
      <w:pPr>
        <w:pStyle w:val="5"/>
        <w:widowControl/>
        <w:snapToGrid w:val="0"/>
        <w:spacing w:line="600" w:lineRule="atLeast"/>
        <w:ind w:firstLine="730" w:firstLineChars="231"/>
        <w:rPr>
          <w:rFonts w:ascii="仿宋" w:hAnsi="仿宋" w:eastAsia="仿宋"/>
          <w:sz w:val="32"/>
          <w:szCs w:val="32"/>
        </w:rPr>
      </w:pPr>
      <w:r>
        <w:rPr>
          <w:rFonts w:hint="eastAsia" w:ascii="仿宋" w:hAnsi="仿宋" w:eastAsia="仿宋"/>
          <w:sz w:val="32"/>
          <w:szCs w:val="32"/>
        </w:rPr>
        <w:t>信息录入核查重点参照建设工程及政府采购执行。</w:t>
      </w:r>
    </w:p>
    <w:p>
      <w:pPr>
        <w:pStyle w:val="5"/>
        <w:widowControl/>
        <w:snapToGrid w:val="0"/>
        <w:spacing w:before="100" w:after="100" w:line="600" w:lineRule="atLeast"/>
        <w:ind w:firstLine="2784" w:firstLineChars="881"/>
        <w:rPr>
          <w:rFonts w:hint="eastAsia" w:ascii="黑体" w:hAnsi="黑体" w:eastAsia="黑体"/>
          <w:sz w:val="32"/>
          <w:szCs w:val="32"/>
        </w:rPr>
      </w:pPr>
    </w:p>
    <w:p>
      <w:pPr>
        <w:pStyle w:val="5"/>
        <w:widowControl/>
        <w:snapToGrid w:val="0"/>
        <w:spacing w:before="100" w:after="100" w:line="600" w:lineRule="atLeast"/>
        <w:ind w:firstLine="3416" w:firstLineChars="1081"/>
        <w:rPr>
          <w:rFonts w:ascii="黑体" w:hAnsi="黑体" w:eastAsia="黑体"/>
          <w:sz w:val="32"/>
          <w:szCs w:val="32"/>
        </w:rPr>
      </w:pPr>
      <w:r>
        <w:rPr>
          <w:rFonts w:hint="eastAsia" w:ascii="黑体" w:hAnsi="黑体" w:eastAsia="黑体"/>
          <w:sz w:val="32"/>
          <w:szCs w:val="32"/>
        </w:rPr>
        <w:t>第三章 问 责</w:t>
      </w:r>
    </w:p>
    <w:p>
      <w:pPr>
        <w:pStyle w:val="5"/>
        <w:widowControl/>
        <w:snapToGrid w:val="0"/>
        <w:spacing w:line="600" w:lineRule="atLeast"/>
        <w:ind w:left="5" w:firstLine="632" w:firstLineChars="200"/>
        <w:rPr>
          <w:rFonts w:hint="eastAsia" w:ascii="仿宋_GB2312" w:hAnsi="仿宋_GB2312" w:eastAsia="仿宋_GB2312" w:cs="仿宋_GB2312"/>
          <w:sz w:val="32"/>
          <w:szCs w:val="32"/>
          <w:lang w:val="en-US" w:eastAsia="zh-CN"/>
        </w:rPr>
      </w:pPr>
      <w:r>
        <w:rPr>
          <w:rFonts w:ascii="仿宋" w:hAnsi="仿宋" w:eastAsia="仿宋"/>
          <w:sz w:val="32"/>
          <w:szCs w:val="32"/>
        </w:rPr>
        <w:t>第十</w:t>
      </w:r>
      <w:r>
        <w:rPr>
          <w:rFonts w:hint="eastAsia" w:ascii="仿宋" w:hAnsi="仿宋" w:eastAsia="仿宋"/>
          <w:sz w:val="32"/>
          <w:szCs w:val="32"/>
        </w:rPr>
        <w:t>一</w:t>
      </w:r>
      <w:r>
        <w:rPr>
          <w:rFonts w:ascii="仿宋" w:hAnsi="仿宋" w:eastAsia="仿宋"/>
          <w:sz w:val="32"/>
          <w:szCs w:val="32"/>
        </w:rPr>
        <w:t xml:space="preserve">条 </w:t>
      </w:r>
      <w:r>
        <w:rPr>
          <w:rFonts w:hint="eastAsia" w:ascii="仿宋_GB2312" w:hAnsi="仿宋_GB2312" w:eastAsia="仿宋_GB2312" w:cs="仿宋_GB2312"/>
          <w:sz w:val="32"/>
          <w:szCs w:val="32"/>
          <w:lang w:val="en-US" w:eastAsia="zh-CN"/>
        </w:rPr>
        <w:t>市公共资源交易服务平台已研究开发审核纠错系统，及时纠正各地公共资源交易信息和数据发布推送工作中存在的问题。特别是对因把关不严，出现的公共资源交易信息不完整、交易数据失真、发布不及时、项目在平台之外交易等问题，实行约谈、通报、责任倒追。</w:t>
      </w:r>
    </w:p>
    <w:p>
      <w:pPr>
        <w:pStyle w:val="5"/>
        <w:widowControl/>
        <w:snapToGrid w:val="0"/>
        <w:spacing w:line="600" w:lineRule="atLeast"/>
        <w:ind w:left="5" w:firstLine="632" w:firstLineChars="200"/>
        <w:rPr>
          <w:rFonts w:ascii="仿宋" w:hAnsi="仿宋" w:eastAsia="仿宋"/>
          <w:sz w:val="32"/>
          <w:szCs w:val="32"/>
        </w:rPr>
      </w:pPr>
      <w:r>
        <w:rPr>
          <w:rFonts w:ascii="仿宋" w:hAnsi="仿宋" w:eastAsia="仿宋"/>
          <w:sz w:val="32"/>
          <w:szCs w:val="32"/>
        </w:rPr>
        <w:t>各</w:t>
      </w:r>
      <w:r>
        <w:rPr>
          <w:rFonts w:hint="eastAsia" w:ascii="仿宋" w:hAnsi="仿宋" w:eastAsia="仿宋"/>
          <w:sz w:val="32"/>
          <w:szCs w:val="32"/>
        </w:rPr>
        <w:t>级公共资源交易管理部门</w:t>
      </w:r>
      <w:r>
        <w:rPr>
          <w:rFonts w:ascii="仿宋" w:hAnsi="仿宋" w:eastAsia="仿宋"/>
          <w:sz w:val="32"/>
          <w:szCs w:val="32"/>
        </w:rPr>
        <w:t>要健全信息发布管理工作机制，明确责任分工，</w:t>
      </w:r>
      <w:r>
        <w:rPr>
          <w:rFonts w:hint="eastAsia" w:ascii="仿宋" w:hAnsi="仿宋" w:eastAsia="仿宋"/>
          <w:sz w:val="32"/>
          <w:szCs w:val="32"/>
        </w:rPr>
        <w:t>对交易</w:t>
      </w:r>
      <w:r>
        <w:rPr>
          <w:rFonts w:ascii="仿宋" w:hAnsi="仿宋" w:eastAsia="仿宋"/>
          <w:sz w:val="32"/>
          <w:szCs w:val="32"/>
        </w:rPr>
        <w:t>信息发布</w:t>
      </w:r>
      <w:r>
        <w:rPr>
          <w:rFonts w:hint="eastAsia" w:ascii="仿宋" w:hAnsi="仿宋" w:eastAsia="仿宋"/>
          <w:sz w:val="32"/>
          <w:szCs w:val="32"/>
        </w:rPr>
        <w:t>存在问题的单位开展约谈，并及时将约谈惩戒情况报送市政务服务和数字化建设管理局。</w:t>
      </w:r>
    </w:p>
    <w:p>
      <w:pPr>
        <w:pStyle w:val="5"/>
        <w:widowControl/>
        <w:snapToGrid w:val="0"/>
        <w:spacing w:line="600" w:lineRule="atLeast"/>
        <w:ind w:left="5" w:firstLine="632" w:firstLineChars="200"/>
        <w:rPr>
          <w:rFonts w:ascii="仿宋" w:hAnsi="仿宋" w:eastAsia="仿宋"/>
          <w:sz w:val="32"/>
          <w:szCs w:val="32"/>
        </w:rPr>
      </w:pPr>
      <w:r>
        <w:rPr>
          <w:rFonts w:ascii="仿宋" w:hAnsi="仿宋" w:eastAsia="仿宋"/>
          <w:sz w:val="32"/>
          <w:szCs w:val="32"/>
        </w:rPr>
        <w:t>第十</w:t>
      </w:r>
      <w:r>
        <w:rPr>
          <w:rFonts w:hint="eastAsia" w:ascii="仿宋" w:hAnsi="仿宋" w:eastAsia="仿宋"/>
          <w:sz w:val="32"/>
          <w:szCs w:val="32"/>
        </w:rPr>
        <w:t>二</w:t>
      </w:r>
      <w:r>
        <w:rPr>
          <w:rFonts w:ascii="仿宋" w:hAnsi="仿宋" w:eastAsia="仿宋"/>
          <w:sz w:val="32"/>
          <w:szCs w:val="32"/>
        </w:rPr>
        <w:t>条</w:t>
      </w:r>
      <w:r>
        <w:rPr>
          <w:rFonts w:hint="eastAsia" w:ascii="仿宋" w:hAnsi="仿宋" w:eastAsia="仿宋"/>
          <w:sz w:val="32"/>
          <w:szCs w:val="32"/>
        </w:rPr>
        <w:t xml:space="preserve"> 对信息发布存在问题的招标（采购）代理机构，</w:t>
      </w:r>
      <w:r>
        <w:rPr>
          <w:rFonts w:ascii="仿宋" w:hAnsi="仿宋" w:eastAsia="仿宋"/>
          <w:sz w:val="32"/>
          <w:szCs w:val="32"/>
        </w:rPr>
        <w:t>有下列情形之一，情节较轻的给予通报批评</w:t>
      </w:r>
      <w:r>
        <w:rPr>
          <w:rFonts w:hint="eastAsia" w:ascii="仿宋" w:hAnsi="仿宋" w:eastAsia="仿宋"/>
          <w:sz w:val="32"/>
          <w:szCs w:val="32"/>
          <w:lang w:eastAsia="zh-CN"/>
        </w:rPr>
        <w:t>，</w:t>
      </w:r>
      <w:r>
        <w:rPr>
          <w:rFonts w:hint="eastAsia" w:ascii="仿宋" w:hAnsi="仿宋" w:eastAsia="仿宋"/>
          <w:sz w:val="32"/>
          <w:szCs w:val="32"/>
        </w:rPr>
        <w:t>情节严重的给予暂缓或暂停公共资源交易信息发布</w:t>
      </w:r>
      <w:r>
        <w:rPr>
          <w:rFonts w:hint="eastAsia" w:ascii="仿宋" w:hAnsi="仿宋" w:eastAsia="仿宋"/>
          <w:sz w:val="32"/>
          <w:szCs w:val="32"/>
          <w:lang w:eastAsia="zh-CN"/>
        </w:rPr>
        <w:t>并进行通报批评</w:t>
      </w:r>
      <w:r>
        <w:rPr>
          <w:rFonts w:hint="eastAsia" w:ascii="仿宋" w:hAnsi="仿宋" w:eastAsia="仿宋"/>
          <w:sz w:val="32"/>
          <w:szCs w:val="32"/>
        </w:rPr>
        <w:t>，</w:t>
      </w:r>
      <w:r>
        <w:rPr>
          <w:rFonts w:hint="eastAsia" w:ascii="仿宋" w:hAnsi="仿宋" w:eastAsia="仿宋"/>
          <w:sz w:val="32"/>
          <w:szCs w:val="32"/>
          <w:lang w:eastAsia="zh-CN"/>
        </w:rPr>
        <w:t>同时</w:t>
      </w:r>
      <w:r>
        <w:rPr>
          <w:rFonts w:hint="eastAsia" w:ascii="仿宋" w:hAnsi="仿宋" w:eastAsia="仿宋"/>
          <w:sz w:val="32"/>
          <w:szCs w:val="32"/>
        </w:rPr>
        <w:t>将问题情况记入代理机构的执业诚信记录。</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（一）公共资源交易信息中出现国名、地名等敏感信息错误；</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（二）招标采购项目交易单位及金额填报前后矛盾混乱；</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（三）交易信息发布时间与上传到省级平台时间不一致；</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（四）以标段代码代替招标采购中标标题；</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（五）公告有标题无内容；</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（六）在公告内容中上传图片；</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（七）招标采购项目法律依据混淆；</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（八）招标、采购项目类别错位；</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（九）投标保证金缴纳金额不一致；</w:t>
      </w:r>
    </w:p>
    <w:p>
      <w:pPr>
        <w:pStyle w:val="5"/>
        <w:widowControl/>
        <w:snapToGrid w:val="0"/>
        <w:spacing w:line="600" w:lineRule="atLeast"/>
        <w:ind w:firstLine="316" w:firstLineChars="100"/>
        <w:rPr>
          <w:rFonts w:ascii="仿宋" w:hAnsi="仿宋" w:eastAsia="仿宋"/>
          <w:sz w:val="32"/>
          <w:szCs w:val="32"/>
        </w:rPr>
      </w:pPr>
      <w:r>
        <w:rPr>
          <w:rFonts w:hint="eastAsia" w:ascii="仿宋" w:hAnsi="仿宋" w:eastAsia="仿宋"/>
          <w:sz w:val="32"/>
          <w:szCs w:val="32"/>
        </w:rPr>
        <w:t>（十）随意上传保密项目信息等等；</w:t>
      </w:r>
    </w:p>
    <w:p>
      <w:pPr>
        <w:pStyle w:val="5"/>
        <w:widowControl/>
        <w:snapToGrid w:val="0"/>
        <w:spacing w:line="600" w:lineRule="atLeast"/>
        <w:ind w:firstLine="316" w:firstLineChars="1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十一</w:t>
      </w:r>
      <w:r>
        <w:rPr>
          <w:rFonts w:ascii="仿宋" w:hAnsi="仿宋" w:eastAsia="仿宋"/>
          <w:sz w:val="32"/>
          <w:szCs w:val="32"/>
        </w:rPr>
        <w:t>）其他违反信息发布管理有关规定的。</w:t>
      </w:r>
    </w:p>
    <w:p>
      <w:pPr>
        <w:pStyle w:val="5"/>
        <w:widowControl/>
        <w:snapToGrid w:val="0"/>
        <w:spacing w:line="600" w:lineRule="atLeast"/>
        <w:ind w:firstLine="730" w:firstLineChars="231"/>
        <w:jc w:val="center"/>
        <w:rPr>
          <w:rFonts w:hint="eastAsia" w:ascii="仿宋" w:hAnsi="仿宋" w:eastAsia="仿宋" w:cstheme="minorBidi"/>
          <w:kern w:val="2"/>
          <w:sz w:val="32"/>
          <w:szCs w:val="32"/>
        </w:rPr>
      </w:pPr>
    </w:p>
    <w:p>
      <w:pPr>
        <w:pStyle w:val="5"/>
        <w:widowControl/>
        <w:snapToGrid w:val="0"/>
        <w:spacing w:line="600" w:lineRule="atLeast"/>
        <w:ind w:firstLine="730" w:firstLineChars="231"/>
        <w:jc w:val="center"/>
        <w:rPr>
          <w:rFonts w:ascii="黑体" w:hAnsi="黑体" w:eastAsia="黑体" w:cstheme="minorBidi"/>
          <w:kern w:val="2"/>
          <w:sz w:val="32"/>
          <w:szCs w:val="32"/>
        </w:rPr>
      </w:pPr>
      <w:r>
        <w:rPr>
          <w:rFonts w:hint="eastAsia" w:ascii="黑体" w:hAnsi="黑体" w:eastAsia="黑体" w:cstheme="minorBidi"/>
          <w:kern w:val="2"/>
          <w:sz w:val="32"/>
          <w:szCs w:val="32"/>
        </w:rPr>
        <w:t>第四章 附 则</w:t>
      </w:r>
    </w:p>
    <w:p>
      <w:pPr>
        <w:pStyle w:val="5"/>
        <w:widowControl/>
        <w:snapToGrid w:val="0"/>
        <w:spacing w:before="100" w:after="100" w:line="600" w:lineRule="atLeast"/>
        <w:ind w:firstLine="730" w:firstLineChars="231"/>
        <w:rPr>
          <w:rFonts w:ascii="仿宋" w:hAnsi="仿宋" w:eastAsia="仿宋" w:cstheme="minorBidi"/>
          <w:kern w:val="2"/>
          <w:sz w:val="32"/>
          <w:szCs w:val="32"/>
        </w:rPr>
      </w:pPr>
      <w:r>
        <w:rPr>
          <w:rFonts w:hint="eastAsia" w:ascii="仿宋" w:hAnsi="仿宋" w:eastAsia="仿宋" w:cstheme="minorBidi"/>
          <w:kern w:val="2"/>
          <w:sz w:val="32"/>
          <w:szCs w:val="32"/>
        </w:rPr>
        <w:t>第十三条  本制度由市政务服务和数字化建设管理局负责解释。</w:t>
      </w:r>
    </w:p>
    <w:p>
      <w:pPr>
        <w:pStyle w:val="5"/>
        <w:widowControl/>
        <w:snapToGrid w:val="0"/>
        <w:spacing w:line="600" w:lineRule="atLeast"/>
        <w:ind w:firstLine="645"/>
        <w:rPr>
          <w:rFonts w:ascii="仿宋" w:hAnsi="仿宋" w:eastAsia="仿宋" w:cstheme="minorBidi"/>
          <w:kern w:val="2"/>
          <w:sz w:val="32"/>
          <w:szCs w:val="32"/>
        </w:rPr>
      </w:pPr>
      <w:r>
        <w:rPr>
          <w:rFonts w:hint="eastAsia" w:ascii="仿宋" w:hAnsi="仿宋" w:eastAsia="仿宋" w:cstheme="minorBidi"/>
          <w:kern w:val="2"/>
          <w:sz w:val="32"/>
          <w:szCs w:val="32"/>
        </w:rPr>
        <w:t>第十四条　本制度自发布之日起施行。</w:t>
      </w:r>
    </w:p>
    <w:sectPr>
      <w:footerReference r:id="rId3" w:type="default"/>
      <w:pgSz w:w="11906" w:h="16838"/>
      <w:pgMar w:top="2098" w:right="1474" w:bottom="1984" w:left="1587" w:header="851" w:footer="992"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onospace">
    <w:altName w:val="Times New Roman"/>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531"/>
    <w:multiLevelType w:val="multilevel"/>
    <w:tmpl w:val="118B4531"/>
    <w:lvl w:ilvl="0" w:tentative="0">
      <w:start w:val="1"/>
      <w:numFmt w:val="japaneseCounting"/>
      <w:lvlText w:val="第%1章"/>
      <w:lvlJc w:val="left"/>
      <w:pPr>
        <w:ind w:left="1740" w:hanging="1095"/>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HorizontalSpacing w:val="158"/>
  <w:drawingGridVerticalSpacing w:val="290"/>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13"/>
    <w:rsid w:val="002632EC"/>
    <w:rsid w:val="00305C2F"/>
    <w:rsid w:val="003174A9"/>
    <w:rsid w:val="0036284A"/>
    <w:rsid w:val="005E74A5"/>
    <w:rsid w:val="00721E37"/>
    <w:rsid w:val="00750066"/>
    <w:rsid w:val="0076511D"/>
    <w:rsid w:val="007F35F4"/>
    <w:rsid w:val="00807074"/>
    <w:rsid w:val="00A939A8"/>
    <w:rsid w:val="00B41D16"/>
    <w:rsid w:val="00BD42D9"/>
    <w:rsid w:val="00BE2065"/>
    <w:rsid w:val="00C01113"/>
    <w:rsid w:val="00C17D1C"/>
    <w:rsid w:val="00C43F27"/>
    <w:rsid w:val="00D75C56"/>
    <w:rsid w:val="00DE64F9"/>
    <w:rsid w:val="00EF3DFD"/>
    <w:rsid w:val="00FB3E67"/>
    <w:rsid w:val="02ED53E7"/>
    <w:rsid w:val="03395CE1"/>
    <w:rsid w:val="03DE3428"/>
    <w:rsid w:val="056C4F38"/>
    <w:rsid w:val="07FF268B"/>
    <w:rsid w:val="0A5B7FC5"/>
    <w:rsid w:val="0AE3614B"/>
    <w:rsid w:val="0C580C44"/>
    <w:rsid w:val="0C8F4EE6"/>
    <w:rsid w:val="0CDE251C"/>
    <w:rsid w:val="0D712824"/>
    <w:rsid w:val="0E750637"/>
    <w:rsid w:val="0EEE641D"/>
    <w:rsid w:val="0FDB21FA"/>
    <w:rsid w:val="12202B50"/>
    <w:rsid w:val="1392617F"/>
    <w:rsid w:val="14AB73E2"/>
    <w:rsid w:val="15563EEA"/>
    <w:rsid w:val="15807245"/>
    <w:rsid w:val="164A41CD"/>
    <w:rsid w:val="16742522"/>
    <w:rsid w:val="167C7BFE"/>
    <w:rsid w:val="16F44CFF"/>
    <w:rsid w:val="17157FF3"/>
    <w:rsid w:val="18A53404"/>
    <w:rsid w:val="1A064201"/>
    <w:rsid w:val="1A7505E5"/>
    <w:rsid w:val="1D522D7B"/>
    <w:rsid w:val="1F9379CE"/>
    <w:rsid w:val="1FDA7FE8"/>
    <w:rsid w:val="225434F1"/>
    <w:rsid w:val="24E37064"/>
    <w:rsid w:val="255A4774"/>
    <w:rsid w:val="25623350"/>
    <w:rsid w:val="25807393"/>
    <w:rsid w:val="25C61FD6"/>
    <w:rsid w:val="288651AD"/>
    <w:rsid w:val="28F550AC"/>
    <w:rsid w:val="2A350DF5"/>
    <w:rsid w:val="2ABC2A24"/>
    <w:rsid w:val="2B1F0CDF"/>
    <w:rsid w:val="2CAC01DC"/>
    <w:rsid w:val="2D251113"/>
    <w:rsid w:val="2DC53C33"/>
    <w:rsid w:val="2EEC0046"/>
    <w:rsid w:val="2F8C1F35"/>
    <w:rsid w:val="33CB471B"/>
    <w:rsid w:val="33FA6E49"/>
    <w:rsid w:val="33FE36E0"/>
    <w:rsid w:val="342E38F3"/>
    <w:rsid w:val="34A24134"/>
    <w:rsid w:val="35354AB4"/>
    <w:rsid w:val="36201FD2"/>
    <w:rsid w:val="38141350"/>
    <w:rsid w:val="389D74C9"/>
    <w:rsid w:val="3C5C726C"/>
    <w:rsid w:val="3F6F491D"/>
    <w:rsid w:val="3FBC6871"/>
    <w:rsid w:val="3FBE15F2"/>
    <w:rsid w:val="423D1FAC"/>
    <w:rsid w:val="43E93FA3"/>
    <w:rsid w:val="452C2DE9"/>
    <w:rsid w:val="45373D5A"/>
    <w:rsid w:val="45A464AE"/>
    <w:rsid w:val="45CF0D8C"/>
    <w:rsid w:val="46624D25"/>
    <w:rsid w:val="479F7C7B"/>
    <w:rsid w:val="47F701CF"/>
    <w:rsid w:val="485B5B2D"/>
    <w:rsid w:val="485F2049"/>
    <w:rsid w:val="4CA10F9A"/>
    <w:rsid w:val="50714D3E"/>
    <w:rsid w:val="50C17599"/>
    <w:rsid w:val="516E4FDD"/>
    <w:rsid w:val="517240D0"/>
    <w:rsid w:val="521127C3"/>
    <w:rsid w:val="5238713A"/>
    <w:rsid w:val="542850CE"/>
    <w:rsid w:val="54C8242F"/>
    <w:rsid w:val="559F14DB"/>
    <w:rsid w:val="55CF6122"/>
    <w:rsid w:val="562C73F2"/>
    <w:rsid w:val="564376B7"/>
    <w:rsid w:val="564479A4"/>
    <w:rsid w:val="56585014"/>
    <w:rsid w:val="56FE04CE"/>
    <w:rsid w:val="578D05B4"/>
    <w:rsid w:val="5B444474"/>
    <w:rsid w:val="5D566378"/>
    <w:rsid w:val="5E6C10DA"/>
    <w:rsid w:val="5F741ABC"/>
    <w:rsid w:val="63791216"/>
    <w:rsid w:val="659426F5"/>
    <w:rsid w:val="65981D9D"/>
    <w:rsid w:val="66CD6C12"/>
    <w:rsid w:val="6A652EC7"/>
    <w:rsid w:val="6BA3304E"/>
    <w:rsid w:val="6D9241E0"/>
    <w:rsid w:val="6DD9331A"/>
    <w:rsid w:val="6E0E4133"/>
    <w:rsid w:val="6E735204"/>
    <w:rsid w:val="6F3C459D"/>
    <w:rsid w:val="715131E8"/>
    <w:rsid w:val="71EC7564"/>
    <w:rsid w:val="727C44FD"/>
    <w:rsid w:val="77044399"/>
    <w:rsid w:val="77A0558B"/>
    <w:rsid w:val="7903327B"/>
    <w:rsid w:val="7C7D0E8A"/>
    <w:rsid w:val="7DF8078B"/>
    <w:rsid w:val="7E5367E7"/>
    <w:rsid w:val="7F47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rFonts w:hint="eastAsia" w:ascii="微软雅黑" w:hAnsi="微软雅黑" w:eastAsia="微软雅黑" w:cs="微软雅黑"/>
      <w:color w:val="3D3D3D"/>
      <w:sz w:val="21"/>
      <w:szCs w:val="21"/>
      <w:u w:val="none"/>
    </w:rPr>
  </w:style>
  <w:style w:type="character" w:styleId="10">
    <w:name w:val="HTML Definition"/>
    <w:basedOn w:val="7"/>
    <w:qFormat/>
    <w:uiPriority w:val="0"/>
  </w:style>
  <w:style w:type="character" w:styleId="11">
    <w:name w:val="HTML Typewriter"/>
    <w:basedOn w:val="7"/>
    <w:qFormat/>
    <w:uiPriority w:val="0"/>
    <w:rPr>
      <w:rFonts w:ascii="monospace" w:hAnsi="monospace" w:eastAsia="monospace" w:cs="monospace"/>
      <w:sz w:val="20"/>
    </w:rPr>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rFonts w:ascii="微软雅黑" w:hAnsi="微软雅黑" w:eastAsia="微软雅黑" w:cs="微软雅黑"/>
      <w:color w:val="3D3D3D"/>
      <w:sz w:val="21"/>
      <w:szCs w:val="21"/>
      <w:u w:val="none"/>
    </w:rPr>
  </w:style>
  <w:style w:type="character" w:styleId="15">
    <w:name w:val="HTML Code"/>
    <w:basedOn w:val="7"/>
    <w:qFormat/>
    <w:uiPriority w:val="0"/>
    <w:rPr>
      <w:rFonts w:hint="default" w:ascii="monospace" w:hAnsi="monospace" w:eastAsia="monospace" w:cs="monospace"/>
      <w:sz w:val="20"/>
    </w:rPr>
  </w:style>
  <w:style w:type="character" w:styleId="16">
    <w:name w:val="HTML Cite"/>
    <w:basedOn w:val="7"/>
    <w:qFormat/>
    <w:uiPriority w:val="0"/>
  </w:style>
  <w:style w:type="character" w:styleId="17">
    <w:name w:val="HTML Keyboard"/>
    <w:basedOn w:val="7"/>
    <w:qFormat/>
    <w:uiPriority w:val="0"/>
    <w:rPr>
      <w:rFonts w:hint="default" w:ascii="monospace" w:hAnsi="monospace" w:eastAsia="monospace" w:cs="monospace"/>
      <w:sz w:val="20"/>
    </w:rPr>
  </w:style>
  <w:style w:type="character" w:styleId="18">
    <w:name w:val="HTML Sample"/>
    <w:basedOn w:val="7"/>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40833-EAB6-45AF-A37C-9E8553540D18}">
  <ds:schemaRefs/>
</ds:datastoreItem>
</file>

<file path=docProps/app.xml><?xml version="1.0" encoding="utf-8"?>
<Properties xmlns="http://schemas.openxmlformats.org/officeDocument/2006/extended-properties" xmlns:vt="http://schemas.openxmlformats.org/officeDocument/2006/docPropsVTypes">
  <Template>Normal</Template>
  <Pages>6</Pages>
  <Words>298</Words>
  <Characters>1703</Characters>
  <Lines>14</Lines>
  <Paragraphs>3</Paragraphs>
  <TotalTime>4</TotalTime>
  <ScaleCrop>false</ScaleCrop>
  <LinksUpToDate>false</LinksUpToDate>
  <CharactersWithSpaces>1998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2019-04-08T04:18:00Z</dcterms:created>
  <dc:creator>Administrator</dc:creator>
  <cp:lastModifiedBy>知明1400651905</cp:lastModifiedBy>
  <cp:lastPrinted>2019-03-22T07:49:00Z</cp:lastPrinted>
  <dcterms:modified xsi:type="dcterms:W3CDTF">2019-05-15T06:24:07Z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