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白城市政务服务和数字化建设管理局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关于进一步加强公共资源配置领域</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政府信息公开工作</w:t>
      </w:r>
      <w:r>
        <w:rPr>
          <w:rFonts w:hint="eastAsia" w:ascii="方正小标宋_GBK" w:hAnsi="方正小标宋_GBK" w:eastAsia="方正小标宋_GBK" w:cs="方正小标宋_GBK"/>
          <w:sz w:val="44"/>
          <w:szCs w:val="44"/>
          <w:lang w:eastAsia="zh-CN"/>
        </w:rPr>
        <w:t>的函</w:t>
      </w:r>
    </w:p>
    <w:p>
      <w:pPr>
        <w:widowControl w:val="0"/>
        <w:jc w:val="both"/>
      </w:pPr>
    </w:p>
    <w:p>
      <w:pPr>
        <w:widowControl w:val="0"/>
        <w:jc w:val="both"/>
        <w:rPr>
          <w:rFonts w:ascii="仿宋_GB2312" w:cs="仿宋_GB2312"/>
          <w:szCs w:val="32"/>
        </w:rPr>
      </w:pPr>
      <w:r>
        <w:rPr>
          <w:rFonts w:hint="eastAsia" w:ascii="仿宋_GB2312" w:hAnsi="仿宋_GB2312" w:cs="仿宋_GB2312"/>
          <w:szCs w:val="32"/>
        </w:rPr>
        <w:t>各县（市、区）人民政府、开发区（园区）管委会、市新区办，市直各有关部门：</w:t>
      </w:r>
    </w:p>
    <w:p>
      <w:pPr>
        <w:widowControl w:val="0"/>
        <w:adjustRightInd w:val="0"/>
        <w:spacing w:line="600" w:lineRule="exact"/>
        <w:ind w:firstLine="632" w:firstLineChars="200"/>
        <w:jc w:val="both"/>
        <w:rPr>
          <w:rFonts w:ascii="仿宋_GB2312" w:cs="仿宋_GB2312"/>
          <w:szCs w:val="32"/>
        </w:rPr>
      </w:pPr>
      <w:r>
        <w:rPr>
          <w:rFonts w:hint="eastAsia" w:ascii="仿宋_GB2312" w:hAnsi="仿宋_GB2312" w:cs="仿宋_GB2312"/>
          <w:szCs w:val="32"/>
        </w:rPr>
        <w:t>按照省深入推进公共资源配置领域政府信息公开工作的部署和要求，我市不断加强公共资源交易配置领域政府信息公开管理，按照要求及时、完整、规范发布各类依法应当公开的交易信息，但仍存在对信息公开认识不到位、信息公开共享机制不健全、违法信息和信用信息公开程度不够等问题。</w:t>
      </w:r>
      <w:r>
        <w:rPr>
          <w:rFonts w:hint="eastAsia" w:ascii="仿宋_GB2312" w:hAnsi="仿宋_GB2312" w:cs="仿宋_GB2312"/>
          <w:szCs w:val="32"/>
          <w:lang w:eastAsia="zh-CN"/>
        </w:rPr>
        <w:t>为认真贯彻落实好</w:t>
      </w:r>
      <w:r>
        <w:rPr>
          <w:rFonts w:hint="eastAsia" w:ascii="仿宋_GB2312" w:hAnsi="仿宋_GB2312" w:cs="仿宋_GB2312"/>
          <w:szCs w:val="32"/>
        </w:rPr>
        <w:t>《关于进一步加强公共资源配置领域政府信息公开工作的通知》（吉政数资源〔</w:t>
      </w:r>
      <w:r>
        <w:rPr>
          <w:rFonts w:ascii="仿宋_GB2312" w:hAnsi="仿宋_GB2312" w:cs="仿宋_GB2312"/>
          <w:szCs w:val="32"/>
        </w:rPr>
        <w:t>2019</w:t>
      </w:r>
      <w:r>
        <w:rPr>
          <w:rFonts w:hint="eastAsia" w:ascii="仿宋_GB2312" w:hAnsi="仿宋_GB2312" w:cs="仿宋_GB2312"/>
          <w:szCs w:val="32"/>
        </w:rPr>
        <w:t>〕</w:t>
      </w:r>
      <w:r>
        <w:rPr>
          <w:rFonts w:ascii="仿宋_GB2312" w:hAnsi="仿宋_GB2312" w:cs="仿宋_GB2312"/>
          <w:szCs w:val="32"/>
        </w:rPr>
        <w:t>2</w:t>
      </w:r>
      <w:r>
        <w:rPr>
          <w:rFonts w:hint="eastAsia" w:ascii="仿宋_GB2312" w:hAnsi="仿宋_GB2312" w:cs="仿宋_GB2312"/>
          <w:szCs w:val="32"/>
        </w:rPr>
        <w:t>号），现将有关工作要求</w:t>
      </w:r>
      <w:r>
        <w:rPr>
          <w:rFonts w:hint="eastAsia" w:ascii="仿宋_GB2312" w:hAnsi="仿宋_GB2312" w:cs="仿宋_GB2312"/>
          <w:szCs w:val="32"/>
          <w:lang w:eastAsia="zh-CN"/>
        </w:rPr>
        <w:t>函告</w:t>
      </w:r>
      <w:r>
        <w:rPr>
          <w:rFonts w:hint="eastAsia" w:ascii="仿宋_GB2312" w:hAnsi="仿宋_GB2312" w:cs="仿宋_GB2312"/>
          <w:szCs w:val="32"/>
        </w:rPr>
        <w:t>如下：</w:t>
      </w:r>
    </w:p>
    <w:p>
      <w:pPr>
        <w:widowControl w:val="0"/>
        <w:adjustRightInd w:val="0"/>
        <w:spacing w:line="600" w:lineRule="exact"/>
        <w:ind w:firstLine="632" w:firstLineChars="200"/>
        <w:jc w:val="both"/>
        <w:rPr>
          <w:rFonts w:ascii="仿宋_GB2312" w:cs="仿宋_GB2312"/>
          <w:szCs w:val="32"/>
        </w:rPr>
      </w:pPr>
      <w:r>
        <w:rPr>
          <w:rFonts w:hint="eastAsia" w:ascii="楷体_GB2312" w:hAnsi="仿宋_GB2312" w:eastAsia="楷体_GB2312" w:cs="仿宋_GB2312"/>
          <w:szCs w:val="32"/>
        </w:rPr>
        <w:t>一、强化组织领导。</w:t>
      </w:r>
      <w:r>
        <w:rPr>
          <w:rFonts w:hint="eastAsia" w:ascii="仿宋_GB2312" w:hAnsi="仿宋_GB2312" w:cs="仿宋_GB2312"/>
          <w:szCs w:val="32"/>
        </w:rPr>
        <w:t>各地、各部门要建立健全组织领导机制，明确分工，夯实责任，深入部署公共资源配置领域政府信息公开工作。特别是机构改革后，各地、各部门要按照“谁批准、谁公开，谁实施、谁公开，谁制作、谁公开”的原则，进一步压实信息公开责任主体，保障工作持续向前推进，做到公共资源配置过程中的行政审批批准结果信息、公共资源交易项目基本信息、交易过程信息和中标（成交）信息、合同履约信息均有部门公开、均有专人落实，努力实现公共资源配置全流程透明化。</w:t>
      </w:r>
    </w:p>
    <w:p>
      <w:pPr>
        <w:widowControl w:val="0"/>
        <w:adjustRightInd w:val="0"/>
        <w:spacing w:line="600" w:lineRule="exact"/>
        <w:ind w:firstLine="632" w:firstLineChars="200"/>
        <w:jc w:val="both"/>
        <w:rPr>
          <w:rFonts w:ascii="仿宋_GB2312" w:cs="仿宋_GB2312"/>
          <w:szCs w:val="32"/>
        </w:rPr>
      </w:pPr>
      <w:r>
        <w:rPr>
          <w:rFonts w:hint="eastAsia" w:ascii="楷体_GB2312" w:hAnsi="仿宋_GB2312" w:eastAsia="楷体_GB2312" w:cs="仿宋_GB2312"/>
          <w:szCs w:val="32"/>
        </w:rPr>
        <w:t>二、拓宽公开渠道。</w:t>
      </w:r>
      <w:r>
        <w:rPr>
          <w:rFonts w:hint="eastAsia" w:ascii="仿宋_GB2312" w:hAnsi="仿宋_GB2312" w:cs="仿宋_GB2312"/>
          <w:szCs w:val="32"/>
        </w:rPr>
        <w:t>白城市公共资源交易平台是白城地区列入公共资源交易目录交易信息发布的指定媒介。各级行政监督部门、招标（采购）单位、产权交易转让方、招标（采购）代理机构要充分依托政府网站、部门网站、公共资源交易平台的发布媒介作用，研究信息共享机制，坚持以公开为常态，不公开为例外，将除涉及国家秘密、商业秘密等内容外，公共资源配置过程中产生的政府信息依法及时、主动予以公开。确定为主动公开的信息，除法律法规另有规定外，要严格按照《中华人民共和国政府信息公开条例》规定，自政府信息形成或变更之日起</w:t>
      </w:r>
      <w:r>
        <w:rPr>
          <w:rFonts w:ascii="仿宋_GB2312" w:hAnsi="仿宋_GB2312" w:cs="仿宋_GB2312"/>
          <w:szCs w:val="32"/>
        </w:rPr>
        <w:t>20</w:t>
      </w:r>
      <w:r>
        <w:rPr>
          <w:rFonts w:hint="eastAsia" w:ascii="仿宋_GB2312" w:hAnsi="仿宋_GB2312" w:cs="仿宋_GB2312"/>
          <w:szCs w:val="32"/>
        </w:rPr>
        <w:t>个工作日内予以公开。行政许可、行政处罚事项应自作出行政决定之日起</w:t>
      </w:r>
      <w:r>
        <w:rPr>
          <w:rFonts w:ascii="仿宋_GB2312" w:hAnsi="仿宋_GB2312" w:cs="仿宋_GB2312"/>
          <w:szCs w:val="32"/>
        </w:rPr>
        <w:t>7</w:t>
      </w:r>
      <w:r>
        <w:rPr>
          <w:rFonts w:hint="eastAsia" w:ascii="仿宋_GB2312" w:hAnsi="仿宋_GB2312" w:cs="仿宋_GB2312"/>
          <w:szCs w:val="32"/>
        </w:rPr>
        <w:t>个工作日内上网公开。</w:t>
      </w:r>
    </w:p>
    <w:p>
      <w:pPr>
        <w:widowControl w:val="0"/>
        <w:adjustRightInd w:val="0"/>
        <w:spacing w:line="600" w:lineRule="exact"/>
        <w:ind w:firstLine="632" w:firstLineChars="200"/>
        <w:jc w:val="both"/>
        <w:rPr>
          <w:rFonts w:ascii="仿宋_GB2312" w:cs="仿宋_GB2312"/>
          <w:szCs w:val="32"/>
        </w:rPr>
      </w:pPr>
      <w:r>
        <w:rPr>
          <w:rFonts w:hint="eastAsia" w:ascii="楷体_GB2312" w:hAnsi="仿宋_GB2312" w:eastAsia="楷体_GB2312" w:cs="仿宋_GB2312"/>
          <w:szCs w:val="32"/>
        </w:rPr>
        <w:t>三、坚持常态性自查。</w:t>
      </w:r>
      <w:r>
        <w:rPr>
          <w:rFonts w:hint="eastAsia" w:ascii="仿宋_GB2312" w:hAnsi="仿宋_GB2312" w:cs="仿宋_GB2312"/>
          <w:szCs w:val="32"/>
        </w:rPr>
        <w:t>各地、各部门要对照</w:t>
      </w:r>
      <w:r>
        <w:rPr>
          <w:rFonts w:hint="eastAsia" w:ascii="仿宋_GB2312" w:hAnsi="仿宋_GB2312" w:cs="仿宋_GB2312"/>
          <w:szCs w:val="32"/>
          <w:lang w:eastAsia="zh-CN"/>
        </w:rPr>
        <w:t>《吉林省人民政府办公厅关于印发吉林省深入推进公共资源配置领域政府信息公开工作实施方案的通知》（吉政办发</w:t>
      </w:r>
      <w:r>
        <w:rPr>
          <w:rFonts w:hint="eastAsia" w:ascii="仿宋_GB2312" w:hAnsi="仿宋_GB2312" w:cs="仿宋_GB2312"/>
          <w:szCs w:val="32"/>
        </w:rPr>
        <w:t>〔</w:t>
      </w:r>
      <w:r>
        <w:rPr>
          <w:rFonts w:ascii="仿宋_GB2312" w:hAnsi="仿宋_GB2312" w:cs="仿宋_GB2312"/>
          <w:szCs w:val="32"/>
        </w:rPr>
        <w:t>201</w:t>
      </w:r>
      <w:r>
        <w:rPr>
          <w:rFonts w:hint="eastAsia" w:ascii="仿宋_GB2312" w:hAnsi="仿宋_GB2312" w:cs="仿宋_GB2312"/>
          <w:szCs w:val="32"/>
          <w:lang w:val="en-US" w:eastAsia="zh-CN"/>
        </w:rPr>
        <w:t>8</w:t>
      </w:r>
      <w:r>
        <w:rPr>
          <w:rFonts w:hint="eastAsia" w:ascii="仿宋_GB2312" w:hAnsi="仿宋_GB2312" w:cs="仿宋_GB2312"/>
          <w:szCs w:val="32"/>
        </w:rPr>
        <w:t>〕</w:t>
      </w:r>
      <w:r>
        <w:rPr>
          <w:rFonts w:hint="eastAsia" w:ascii="仿宋_GB2312" w:hAnsi="仿宋_GB2312" w:cs="仿宋_GB2312"/>
          <w:szCs w:val="32"/>
          <w:lang w:val="en-US" w:eastAsia="zh-CN"/>
        </w:rPr>
        <w:t>20号</w:t>
      </w:r>
      <w:r>
        <w:rPr>
          <w:rFonts w:hint="eastAsia" w:ascii="仿宋_GB2312" w:hAnsi="仿宋_GB2312" w:cs="仿宋_GB2312"/>
          <w:szCs w:val="32"/>
          <w:lang w:eastAsia="zh-CN"/>
        </w:rPr>
        <w:t>）</w:t>
      </w:r>
      <w:r>
        <w:rPr>
          <w:rFonts w:hint="eastAsia" w:ascii="仿宋_GB2312" w:hAnsi="仿宋_GB2312" w:cs="仿宋_GB2312"/>
          <w:szCs w:val="32"/>
        </w:rPr>
        <w:t>文件中明确的公共资源配置领域政府信息公开内容和责任主体，每年年中和年末开展两次自查工作。自查内容包括：是否建立信息公开工作领导机制、是否建立信息公开实施方案、是否按照公开原则落实责任主体、是否在规定渠道公开信息、是否以不正当理由规避信息公开、是否及时产生积极成效等。对自查查出的问题，有针对性地采取整改措施，该预警的预警到位，该通报的通报到位，该整改的整改到位。并在自查结束后，及时将自查情况</w:t>
      </w:r>
      <w:r>
        <w:rPr>
          <w:rFonts w:hint="eastAsia" w:ascii="仿宋_GB2312" w:hAnsi="仿宋_GB2312" w:cs="仿宋_GB2312"/>
          <w:szCs w:val="32"/>
          <w:lang w:eastAsia="zh-CN"/>
        </w:rPr>
        <w:t>在每年</w:t>
      </w:r>
      <w:r>
        <w:rPr>
          <w:rFonts w:hint="eastAsia" w:ascii="仿宋_GB2312" w:hAnsi="仿宋_GB2312" w:cs="仿宋_GB2312"/>
          <w:szCs w:val="32"/>
          <w:lang w:val="en-US" w:eastAsia="zh-CN"/>
        </w:rPr>
        <w:t>6月底和12月底前</w:t>
      </w:r>
      <w:r>
        <w:rPr>
          <w:rFonts w:hint="eastAsia" w:ascii="仿宋_GB2312" w:hAnsi="仿宋_GB2312" w:cs="仿宋_GB2312"/>
          <w:szCs w:val="32"/>
        </w:rPr>
        <w:t>报送市政务服务和数字化建设管理局，自查报告要实事求是、客观、全面，并附信息公开内容截图，确保内容真实可靠。</w:t>
      </w:r>
    </w:p>
    <w:p>
      <w:pPr>
        <w:widowControl w:val="0"/>
        <w:adjustRightInd w:val="0"/>
        <w:spacing w:line="600" w:lineRule="exact"/>
        <w:ind w:firstLine="632" w:firstLineChars="200"/>
        <w:jc w:val="both"/>
        <w:rPr>
          <w:rFonts w:ascii="仿宋_GB2312" w:cs="仿宋_GB2312"/>
          <w:szCs w:val="32"/>
        </w:rPr>
      </w:pPr>
      <w:r>
        <w:rPr>
          <w:rFonts w:hint="eastAsia" w:ascii="楷体_GB2312" w:hAnsi="仿宋_GB2312" w:eastAsia="楷体_GB2312" w:cs="仿宋_GB2312"/>
          <w:szCs w:val="32"/>
        </w:rPr>
        <w:t>四、加强监督考核。</w:t>
      </w:r>
      <w:r>
        <w:rPr>
          <w:rFonts w:hint="eastAsia" w:ascii="仿宋_GB2312" w:hAnsi="仿宋_GB2312" w:cs="仿宋_GB2312"/>
          <w:szCs w:val="32"/>
        </w:rPr>
        <w:t>今年上半年，全省将组织开展公共资源配置领域政府信息公开工作专项检查，检查内容包括：政府信息公开情况、公开时效、交易平台信息报送公开情况等，检查结果将及时反馈各级、各部门，并在省、市政府网站同步公布。市政务服务和数字化建设管理局</w:t>
      </w:r>
      <w:r>
        <w:rPr>
          <w:rFonts w:hint="eastAsia" w:ascii="仿宋_GB2312" w:hAnsi="仿宋_GB2312" w:cs="仿宋_GB2312"/>
          <w:szCs w:val="32"/>
          <w:lang w:eastAsia="zh-CN"/>
        </w:rPr>
        <w:t>将依据督查检查职能</w:t>
      </w:r>
      <w:r>
        <w:rPr>
          <w:rFonts w:hint="eastAsia" w:ascii="仿宋_GB2312" w:hAnsi="仿宋_GB2312" w:cs="仿宋_GB2312"/>
          <w:szCs w:val="32"/>
        </w:rPr>
        <w:t>对工作推进不力、落实不到位的责任单位及责任人，视具体情况予以通报批评或问责处理</w:t>
      </w:r>
      <w:r>
        <w:rPr>
          <w:rFonts w:hint="eastAsia" w:ascii="仿宋_GB2312" w:hAnsi="仿宋_GB2312" w:cs="仿宋_GB2312"/>
          <w:szCs w:val="32"/>
          <w:lang w:eastAsia="zh-CN"/>
        </w:rPr>
        <w:t>，其结果将在年终绩效考核中予以体现。</w:t>
      </w:r>
      <w:r>
        <w:rPr>
          <w:rFonts w:hint="eastAsia" w:ascii="仿宋_GB2312" w:hAnsi="仿宋_GB2312" w:cs="仿宋_GB2312"/>
          <w:szCs w:val="32"/>
        </w:rPr>
        <w:t>请各地、各部门于</w:t>
      </w:r>
      <w:r>
        <w:rPr>
          <w:rFonts w:hint="eastAsia" w:ascii="仿宋_GB2312" w:hAnsi="仿宋_GB2312" w:cs="仿宋_GB2312"/>
          <w:szCs w:val="32"/>
          <w:lang w:val="en-US" w:eastAsia="zh-CN"/>
        </w:rPr>
        <w:t>6</w:t>
      </w:r>
      <w:r>
        <w:rPr>
          <w:rFonts w:hint="eastAsia" w:ascii="仿宋_GB2312" w:hAnsi="仿宋_GB2312" w:cs="仿宋_GB2312"/>
          <w:szCs w:val="32"/>
        </w:rPr>
        <w:t>月</w:t>
      </w:r>
      <w:r>
        <w:rPr>
          <w:rFonts w:hint="eastAsia" w:ascii="仿宋_GB2312" w:hAnsi="仿宋_GB2312" w:cs="仿宋_GB2312"/>
          <w:szCs w:val="32"/>
          <w:lang w:val="en-US" w:eastAsia="zh-CN"/>
        </w:rPr>
        <w:t>28</w:t>
      </w:r>
      <w:r>
        <w:rPr>
          <w:rFonts w:hint="eastAsia" w:ascii="仿宋_GB2312" w:hAnsi="仿宋_GB2312" w:cs="仿宋_GB2312"/>
          <w:szCs w:val="32"/>
        </w:rPr>
        <w:t>日前，将自查情况</w:t>
      </w:r>
      <w:r>
        <w:rPr>
          <w:rFonts w:hint="eastAsia" w:ascii="仿宋_GB2312" w:hAnsi="仿宋_GB2312" w:cs="仿宋_GB2312"/>
          <w:szCs w:val="32"/>
          <w:lang w:eastAsia="zh-CN"/>
        </w:rPr>
        <w:t>、目录清单、佐证内容截图的纸质材料和电子版报送如下地址。</w:t>
      </w:r>
    </w:p>
    <w:p>
      <w:pPr>
        <w:widowControl w:val="0"/>
        <w:adjustRightInd w:val="0"/>
        <w:spacing w:line="600" w:lineRule="exact"/>
        <w:ind w:firstLine="632" w:firstLineChars="200"/>
        <w:jc w:val="both"/>
        <w:rPr>
          <w:rFonts w:ascii="仿宋_GB2312" w:cs="仿宋_GB2312"/>
          <w:szCs w:val="32"/>
        </w:rPr>
      </w:pPr>
      <w:r>
        <w:rPr>
          <w:rFonts w:hint="eastAsia" w:ascii="仿宋_GB2312" w:hAnsi="仿宋_GB2312" w:cs="仿宋_GB2312"/>
          <w:szCs w:val="32"/>
        </w:rPr>
        <w:t>联系人：李云峰</w:t>
      </w:r>
      <w:r>
        <w:rPr>
          <w:rFonts w:ascii="仿宋_GB2312" w:hAnsi="仿宋_GB2312" w:cs="仿宋_GB2312"/>
          <w:szCs w:val="32"/>
        </w:rPr>
        <w:t xml:space="preserve">         </w:t>
      </w:r>
      <w:r>
        <w:rPr>
          <w:rFonts w:hint="eastAsia" w:ascii="仿宋_GB2312" w:hAnsi="仿宋_GB2312" w:cs="仿宋_GB2312"/>
          <w:szCs w:val="32"/>
          <w:lang w:val="en-US" w:eastAsia="zh-CN"/>
        </w:rPr>
        <w:t xml:space="preserve">   </w:t>
      </w:r>
      <w:r>
        <w:rPr>
          <w:rFonts w:hint="eastAsia" w:ascii="仿宋_GB2312" w:hAnsi="仿宋_GB2312" w:cs="仿宋_GB2312"/>
          <w:szCs w:val="32"/>
        </w:rPr>
        <w:t>联系电话：</w:t>
      </w:r>
      <w:r>
        <w:rPr>
          <w:rFonts w:ascii="仿宋_GB2312" w:hAnsi="仿宋_GB2312" w:cs="仿宋_GB2312"/>
          <w:szCs w:val="32"/>
        </w:rPr>
        <w:t xml:space="preserve">3295610   </w:t>
      </w:r>
    </w:p>
    <w:p>
      <w:pPr>
        <w:widowControl w:val="0"/>
        <w:adjustRightInd w:val="0"/>
        <w:spacing w:line="600" w:lineRule="exact"/>
        <w:ind w:firstLine="632" w:firstLineChars="200"/>
        <w:jc w:val="both"/>
        <w:rPr>
          <w:rFonts w:ascii="仿宋_GB2312" w:hAnsi="仿宋_GB2312" w:cs="仿宋_GB2312"/>
          <w:szCs w:val="32"/>
        </w:rPr>
      </w:pPr>
      <w:r>
        <w:rPr>
          <w:rFonts w:hint="eastAsia" w:ascii="仿宋_GB2312" w:hAnsi="仿宋_GB2312" w:cs="仿宋_GB2312"/>
          <w:szCs w:val="32"/>
        </w:rPr>
        <w:t>邮</w:t>
      </w:r>
      <w:r>
        <w:rPr>
          <w:rFonts w:hint="eastAsia" w:ascii="仿宋_GB2312" w:hAnsi="仿宋_GB2312" w:cs="仿宋_GB2312"/>
          <w:szCs w:val="32"/>
          <w:lang w:val="en-US" w:eastAsia="zh-CN"/>
        </w:rPr>
        <w:t xml:space="preserve">  </w:t>
      </w:r>
      <w:r>
        <w:rPr>
          <w:rFonts w:hint="eastAsia" w:ascii="仿宋_GB2312" w:hAnsi="仿宋_GB2312" w:cs="仿宋_GB2312"/>
          <w:szCs w:val="32"/>
        </w:rPr>
        <w:t>箱：</w:t>
      </w:r>
      <w:r>
        <w:rPr>
          <w:rFonts w:ascii="仿宋_GB2312" w:hAnsi="仿宋_GB2312" w:cs="仿宋_GB2312"/>
          <w:color w:val="auto"/>
          <w:szCs w:val="32"/>
          <w:u w:val="none"/>
        </w:rPr>
        <w:fldChar w:fldCharType="begin"/>
      </w:r>
      <w:r>
        <w:rPr>
          <w:rFonts w:ascii="仿宋_GB2312" w:hAnsi="仿宋_GB2312" w:cs="仿宋_GB2312"/>
          <w:color w:val="auto"/>
          <w:szCs w:val="32"/>
          <w:u w:val="none"/>
        </w:rPr>
        <w:instrText xml:space="preserve"> HYPERLINK "mailto:bcsggzyxxk@163.com" </w:instrText>
      </w:r>
      <w:r>
        <w:rPr>
          <w:rFonts w:ascii="仿宋_GB2312" w:hAnsi="仿宋_GB2312" w:cs="仿宋_GB2312"/>
          <w:color w:val="auto"/>
          <w:szCs w:val="32"/>
          <w:u w:val="none"/>
        </w:rPr>
        <w:fldChar w:fldCharType="separate"/>
      </w:r>
      <w:r>
        <w:rPr>
          <w:rStyle w:val="9"/>
          <w:rFonts w:ascii="仿宋_GB2312" w:hAnsi="仿宋_GB2312" w:cs="仿宋_GB2312"/>
          <w:color w:val="auto"/>
          <w:szCs w:val="32"/>
          <w:u w:val="none"/>
        </w:rPr>
        <w:t>bcsggzyxxk</w:t>
      </w:r>
      <w:r>
        <w:rPr>
          <w:rStyle w:val="9"/>
          <w:rFonts w:hint="eastAsia" w:ascii="仿宋_GB2312" w:hAnsi="仿宋_GB2312" w:cs="仿宋_GB2312"/>
          <w:color w:val="auto"/>
          <w:szCs w:val="32"/>
          <w:u w:val="none"/>
          <w:lang w:val="en-US" w:eastAsia="zh-CN"/>
        </w:rPr>
        <w:t>@</w:t>
      </w:r>
      <w:r>
        <w:rPr>
          <w:rStyle w:val="9"/>
          <w:rFonts w:ascii="仿宋_GB2312" w:hAnsi="仿宋_GB2312" w:cs="仿宋_GB2312"/>
          <w:color w:val="auto"/>
          <w:szCs w:val="32"/>
          <w:u w:val="none"/>
        </w:rPr>
        <w:t>163.com</w:t>
      </w:r>
      <w:r>
        <w:rPr>
          <w:rFonts w:ascii="仿宋_GB2312" w:hAnsi="仿宋_GB2312" w:cs="仿宋_GB2312"/>
          <w:color w:val="auto"/>
          <w:szCs w:val="32"/>
          <w:u w:val="none"/>
        </w:rPr>
        <w:fldChar w:fldCharType="end"/>
      </w:r>
    </w:p>
    <w:p>
      <w:pPr>
        <w:widowControl w:val="0"/>
        <w:adjustRightInd w:val="0"/>
        <w:spacing w:line="600" w:lineRule="exact"/>
        <w:ind w:firstLine="632" w:firstLineChars="200"/>
        <w:jc w:val="both"/>
        <w:rPr>
          <w:rFonts w:ascii="仿宋_GB2312" w:cs="仿宋_GB2312"/>
          <w:szCs w:val="32"/>
        </w:rPr>
      </w:pPr>
      <w:r>
        <w:rPr>
          <w:rFonts w:hint="eastAsia" w:ascii="仿宋_GB2312" w:hAnsi="仿宋_GB2312" w:cs="仿宋_GB2312"/>
          <w:szCs w:val="32"/>
        </w:rPr>
        <w:t>附件：</w:t>
      </w:r>
      <w:r>
        <w:rPr>
          <w:rFonts w:ascii="仿宋_GB2312" w:hAnsi="仿宋_GB2312" w:cs="仿宋_GB2312"/>
          <w:szCs w:val="32"/>
        </w:rPr>
        <w:t>1.</w:t>
      </w:r>
      <w:r>
        <w:rPr>
          <w:rFonts w:hint="eastAsia" w:ascii="仿宋_GB2312" w:hAnsi="仿宋_GB2312" w:cs="仿宋_GB2312"/>
          <w:szCs w:val="32"/>
        </w:rPr>
        <w:t>自查报告模板</w:t>
      </w:r>
    </w:p>
    <w:p>
      <w:pPr>
        <w:widowControl w:val="0"/>
        <w:adjustRightInd w:val="0"/>
        <w:spacing w:line="600" w:lineRule="exact"/>
        <w:ind w:firstLine="1580" w:firstLineChars="500"/>
        <w:jc w:val="both"/>
        <w:rPr>
          <w:rFonts w:ascii="仿宋_GB2312" w:cs="仿宋_GB2312"/>
          <w:szCs w:val="32"/>
        </w:rPr>
      </w:pPr>
      <w:r>
        <w:rPr>
          <w:rFonts w:ascii="仿宋_GB2312" w:hAnsi="仿宋_GB2312" w:cs="仿宋_GB2312"/>
          <w:szCs w:val="32"/>
        </w:rPr>
        <w:t>2.</w:t>
      </w:r>
      <w:r>
        <w:rPr>
          <w:rFonts w:hint="eastAsia" w:ascii="仿宋_GB2312" w:hAnsi="仿宋_GB2312" w:cs="仿宋_GB2312"/>
          <w:szCs w:val="32"/>
        </w:rPr>
        <w:t>主动公开目录清单模板</w:t>
      </w:r>
    </w:p>
    <w:p>
      <w:pPr>
        <w:widowControl w:val="0"/>
        <w:ind w:firstLine="2528" w:firstLineChars="800"/>
        <w:jc w:val="both"/>
        <w:rPr>
          <w:rFonts w:ascii="仿宋_GB2312" w:cs="仿宋_GB2312"/>
          <w:szCs w:val="32"/>
        </w:rPr>
      </w:pPr>
    </w:p>
    <w:p>
      <w:pPr>
        <w:widowControl w:val="0"/>
        <w:ind w:firstLine="2844" w:firstLineChars="900"/>
        <w:jc w:val="both"/>
        <w:rPr>
          <w:rFonts w:ascii="仿宋_GB2312" w:cs="仿宋_GB2312"/>
          <w:szCs w:val="32"/>
        </w:rPr>
      </w:pPr>
      <w:r>
        <w:rPr>
          <w:rFonts w:hint="eastAsia" w:ascii="仿宋_GB2312" w:hAnsi="仿宋_GB2312" w:cs="仿宋_GB2312"/>
          <w:szCs w:val="32"/>
        </w:rPr>
        <w:t>白城市政务服务和数字化建设管理局</w:t>
      </w:r>
    </w:p>
    <w:p>
      <w:pPr>
        <w:widowControl w:val="0"/>
        <w:ind w:firstLine="4108" w:firstLineChars="1300"/>
        <w:jc w:val="both"/>
        <w:rPr>
          <w:rFonts w:hint="eastAsia" w:ascii="仿宋_GB2312" w:hAnsi="仿宋_GB2312" w:cs="仿宋_GB2312"/>
          <w:szCs w:val="32"/>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numberInDash" w:start="1"/>
          <w:cols w:space="0" w:num="1"/>
          <w:docGrid w:type="linesAndChars" w:linePitch="579" w:charSpace="-842"/>
        </w:sectPr>
      </w:pPr>
      <w:r>
        <w:rPr>
          <w:rFonts w:ascii="仿宋_GB2312" w:hAnsi="仿宋_GB2312" w:cs="仿宋_GB2312"/>
          <w:szCs w:val="32"/>
        </w:rPr>
        <w:t>2019</w:t>
      </w:r>
      <w:r>
        <w:rPr>
          <w:rFonts w:hint="eastAsia" w:ascii="仿宋_GB2312" w:hAnsi="仿宋_GB2312" w:cs="仿宋_GB2312"/>
          <w:szCs w:val="32"/>
        </w:rPr>
        <w:t>年</w:t>
      </w:r>
      <w:r>
        <w:rPr>
          <w:rFonts w:hint="eastAsia" w:ascii="仿宋_GB2312" w:hAnsi="仿宋_GB2312" w:cs="仿宋_GB2312"/>
          <w:szCs w:val="32"/>
          <w:lang w:val="en-US" w:eastAsia="zh-CN"/>
        </w:rPr>
        <w:t>5</w:t>
      </w:r>
      <w:r>
        <w:rPr>
          <w:rFonts w:hint="eastAsia" w:ascii="仿宋_GB2312" w:hAnsi="仿宋_GB2312" w:cs="仿宋_GB2312"/>
          <w:szCs w:val="32"/>
        </w:rPr>
        <w:t>月</w:t>
      </w:r>
      <w:r>
        <w:rPr>
          <w:rFonts w:hint="eastAsia" w:ascii="仿宋_GB2312" w:hAnsi="仿宋_GB2312" w:cs="仿宋_GB2312"/>
          <w:szCs w:val="32"/>
          <w:lang w:val="en-US" w:eastAsia="zh-CN"/>
        </w:rPr>
        <w:t>14日</w:t>
      </w:r>
    </w:p>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eastAsia" w:ascii="方正小标宋_GBK" w:hAnsi="方正小标宋_GBK" w:eastAsia="方正小标宋_GBK" w:cs="方正小标宋_GBK"/>
          <w:sz w:val="44"/>
          <w:szCs w:val="44"/>
          <w:lang w:eastAsia="zh-CN"/>
        </w:rPr>
      </w:pPr>
      <w:r>
        <w:rPr>
          <w:rFonts w:hint="eastAsia" w:ascii="仿宋_GB2312" w:hAnsi="仿宋_GB2312" w:eastAsia="仿宋_GB2312" w:cs="仿宋_GB2312"/>
          <w:sz w:val="32"/>
          <w:szCs w:val="32"/>
          <w:lang w:eastAsia="zh-CN"/>
        </w:rPr>
        <w:t>附件</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eastAsia="zh-CN"/>
        </w:rPr>
        <w:t xml:space="preserve">：自查报告模板 </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w:t>
      </w:r>
      <w:r>
        <w:rPr>
          <w:rFonts w:hint="eastAsia" w:ascii="方正小标宋_GBK" w:hAnsi="方正小标宋_GBK" w:eastAsia="方正小标宋_GBK" w:cs="方正小标宋_GBK"/>
          <w:sz w:val="44"/>
          <w:szCs w:val="44"/>
          <w:lang w:eastAsia="zh-CN"/>
        </w:rPr>
        <w:t>XX单位</w:t>
      </w:r>
    </w:p>
    <w:p>
      <w:pPr>
        <w:keepNext w:val="0"/>
        <w:keepLines w:val="0"/>
        <w:pageBreakBefore w:val="0"/>
        <w:widowControl/>
        <w:kinsoku/>
        <w:wordWrap/>
        <w:overflowPunct/>
        <w:topLinePunct w:val="0"/>
        <w:autoSpaceDE/>
        <w:autoSpaceDN/>
        <w:bidi w:val="0"/>
        <w:adjustRightInd/>
        <w:snapToGrid/>
        <w:spacing w:line="700" w:lineRule="exact"/>
        <w:ind w:firstLine="872" w:firstLineChars="200"/>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关于进一步推进公共资源配置领域</w:t>
      </w:r>
    </w:p>
    <w:p>
      <w:pPr>
        <w:keepNext w:val="0"/>
        <w:keepLines w:val="0"/>
        <w:pageBreakBefore w:val="0"/>
        <w:widowControl/>
        <w:kinsoku/>
        <w:wordWrap/>
        <w:overflowPunct/>
        <w:topLinePunct w:val="0"/>
        <w:autoSpaceDE/>
        <w:autoSpaceDN/>
        <w:bidi w:val="0"/>
        <w:adjustRightInd/>
        <w:snapToGrid/>
        <w:spacing w:line="700" w:lineRule="exact"/>
        <w:ind w:firstLine="1308" w:firstLineChars="300"/>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 xml:space="preserve">政府信息公开工作的自查报告 </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eastAsia="zh-CN"/>
        </w:rPr>
        <w:t>白城市政务服务和数字化建设管理局：</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根据《吉林省人民政府办公厅关于印发吉林省深入推进公共资源配置领域政府信息公开工作实施方案的通知》（吉政办发〔2018〕20号）和</w:t>
      </w:r>
      <w:r>
        <w:rPr>
          <w:rFonts w:hint="eastAsia" w:ascii="仿宋_GB2312" w:hAnsi="仿宋_GB2312" w:cs="仿宋_GB2312"/>
          <w:szCs w:val="32"/>
        </w:rPr>
        <w:t>《关于进一步加强公共资源配置领域政府信息公开工作的通知》（吉政数资源〔</w:t>
      </w:r>
      <w:r>
        <w:rPr>
          <w:rFonts w:ascii="仿宋_GB2312" w:hAnsi="仿宋_GB2312" w:cs="仿宋_GB2312"/>
          <w:szCs w:val="32"/>
        </w:rPr>
        <w:t>2019</w:t>
      </w:r>
      <w:r>
        <w:rPr>
          <w:rFonts w:hint="eastAsia" w:ascii="仿宋_GB2312" w:hAnsi="仿宋_GB2312" w:cs="仿宋_GB2312"/>
          <w:szCs w:val="32"/>
        </w:rPr>
        <w:t>〕</w:t>
      </w:r>
      <w:r>
        <w:rPr>
          <w:rFonts w:ascii="仿宋_GB2312" w:hAnsi="仿宋_GB2312" w:cs="仿宋_GB2312"/>
          <w:szCs w:val="32"/>
        </w:rPr>
        <w:t>2</w:t>
      </w:r>
      <w:r>
        <w:rPr>
          <w:rFonts w:hint="eastAsia" w:ascii="仿宋_GB2312" w:hAnsi="仿宋_GB2312" w:cs="仿宋_GB2312"/>
          <w:szCs w:val="32"/>
        </w:rPr>
        <w:t>号）</w:t>
      </w:r>
      <w:r>
        <w:rPr>
          <w:rFonts w:hint="eastAsia" w:ascii="仿宋_GB2312" w:hAnsi="仿宋_GB2312" w:eastAsia="仿宋_GB2312" w:cs="仿宋_GB2312"/>
          <w:sz w:val="32"/>
          <w:szCs w:val="32"/>
          <w:lang w:val="en-US" w:eastAsia="zh-CN"/>
        </w:rPr>
        <w:t xml:space="preserve">要求，现将我局公共资源配置领域政府信息公开工作自查情况报告如下： </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一、基本情况</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落实推进本单位、本系统公共资源配置领域政府信息公开工作的情况，包括是否建立信息公开工作领导机制，是否建立信息公开实施方案。</w:t>
      </w:r>
    </w:p>
    <w:p>
      <w:pPr>
        <w:numPr>
          <w:ilvl w:val="0"/>
          <w:numId w:val="0"/>
        </w:numPr>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二、主要任务及具体措施</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（一）主动公开目录清单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对照</w:t>
      </w:r>
      <w:r>
        <w:rPr>
          <w:rFonts w:hint="eastAsia" w:ascii="仿宋_GB2312" w:hAnsi="仿宋_GB2312" w:eastAsia="仿宋_GB2312" w:cs="仿宋_GB2312"/>
          <w:sz w:val="32"/>
          <w:szCs w:val="32"/>
          <w:lang w:val="en-US" w:eastAsia="zh-CN"/>
        </w:rPr>
        <w:t>吉政办发〔2018〕20号</w:t>
      </w:r>
      <w:r>
        <w:rPr>
          <w:rFonts w:hint="eastAsia" w:ascii="仿宋_GB2312" w:hAnsi="仿宋_GB2312" w:eastAsia="仿宋_GB2312" w:cs="仿宋_GB2312"/>
          <w:sz w:val="32"/>
          <w:szCs w:val="32"/>
          <w:lang w:eastAsia="zh-CN"/>
        </w:rPr>
        <w:t>文要求，结合重点公开的</w:t>
      </w:r>
      <w:r>
        <w:rPr>
          <w:rFonts w:hint="eastAsia" w:ascii="仿宋_GB2312" w:hAnsi="仿宋_GB2312" w:eastAsia="仿宋_GB2312" w:cs="仿宋_GB2312"/>
          <w:sz w:val="32"/>
          <w:szCs w:val="32"/>
          <w:lang w:val="en-US" w:eastAsia="zh-CN"/>
        </w:rPr>
        <w:t>7大</w:t>
      </w:r>
      <w:r>
        <w:rPr>
          <w:rFonts w:hint="eastAsia" w:ascii="仿宋_GB2312" w:hAnsi="仿宋_GB2312" w:eastAsia="仿宋_GB2312" w:cs="仿宋_GB2312"/>
          <w:sz w:val="32"/>
          <w:szCs w:val="32"/>
          <w:lang w:eastAsia="zh-CN"/>
        </w:rPr>
        <w:t>领域</w:t>
      </w:r>
      <w:r>
        <w:rPr>
          <w:rFonts w:hint="eastAsia" w:ascii="仿宋_GB2312" w:hAnsi="仿宋_GB2312" w:eastAsia="仿宋_GB2312" w:cs="仿宋_GB2312"/>
          <w:sz w:val="32"/>
          <w:szCs w:val="32"/>
          <w:lang w:val="en-US" w:eastAsia="zh-CN"/>
        </w:rPr>
        <w:t>41项公开内容，</w:t>
      </w:r>
      <w:r>
        <w:rPr>
          <w:rFonts w:hint="eastAsia" w:ascii="仿宋_GB2312" w:hAnsi="仿宋_GB2312" w:eastAsia="仿宋_GB2312" w:cs="仿宋_GB2312"/>
          <w:sz w:val="32"/>
          <w:szCs w:val="32"/>
          <w:lang w:eastAsia="zh-CN"/>
        </w:rPr>
        <w:t>明确并进一步细化与本单位、本系统公共资源配置相关的信息内容，明确每一类信息的公开事项、公开内容、公开时限、公开方式、责任主体、监督渠道等，</w:t>
      </w:r>
      <w:r>
        <w:rPr>
          <w:rFonts w:hint="eastAsia" w:ascii="仿宋_GB2312" w:hAnsi="仿宋_GB2312" w:eastAsia="仿宋_GB2312" w:cs="仿宋_GB2312"/>
          <w:sz w:val="32"/>
          <w:szCs w:val="32"/>
          <w:lang w:val="en-US" w:eastAsia="zh-CN"/>
        </w:rPr>
        <w:t>制定并主动发布公共资源配置领域政府信息目录清单。</w:t>
      </w:r>
    </w:p>
    <w:p>
      <w:pPr>
        <w:numPr>
          <w:ilvl w:val="0"/>
          <w:numId w:val="1"/>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畅通公布渠道</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是否畅通公共资源配置领域政府信息公开渠道，将决策、执行、管理、服务、结果信息通过以下三个渠道发布：</w:t>
      </w:r>
    </w:p>
    <w:p>
      <w:pPr>
        <w:numPr>
          <w:ilvl w:val="0"/>
          <w:numId w:val="0"/>
        </w:numPr>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1.目录清单</w:t>
      </w:r>
      <w:r>
        <w:rPr>
          <w:rFonts w:hint="eastAsia" w:ascii="仿宋_GB2312" w:hAnsi="仿宋_GB2312" w:eastAsia="仿宋_GB2312" w:cs="仿宋_GB2312"/>
          <w:sz w:val="32"/>
          <w:szCs w:val="32"/>
          <w:lang w:eastAsia="zh-CN"/>
        </w:rPr>
        <w:t>在政府网站、部门网站</w:t>
      </w:r>
      <w:r>
        <w:rPr>
          <w:rFonts w:hint="eastAsia" w:ascii="仿宋_GB2312" w:hAnsi="仿宋_GB2312" w:cs="仿宋_GB2312"/>
          <w:sz w:val="32"/>
          <w:szCs w:val="32"/>
          <w:lang w:eastAsia="zh-CN"/>
        </w:rPr>
        <w:t>、公共资源交易平台</w:t>
      </w:r>
      <w:r>
        <w:rPr>
          <w:rFonts w:hint="eastAsia" w:ascii="仿宋_GB2312" w:hAnsi="仿宋_GB2312" w:eastAsia="仿宋_GB2312" w:cs="仿宋_GB2312"/>
          <w:sz w:val="32"/>
          <w:szCs w:val="32"/>
          <w:lang w:eastAsia="zh-CN"/>
        </w:rPr>
        <w:t>公开；</w:t>
      </w:r>
    </w:p>
    <w:p>
      <w:pPr>
        <w:numPr>
          <w:ilvl w:val="0"/>
          <w:numId w:val="0"/>
        </w:numPr>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在本地公共资源交易平台发布交易信息；</w:t>
      </w:r>
    </w:p>
    <w:p>
      <w:pPr>
        <w:numPr>
          <w:ilvl w:val="0"/>
          <w:numId w:val="0"/>
        </w:numPr>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将行政处罚、信用信息共享至信用白城和白城市公共资源交易平台。</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三、存在不足及改进措施</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XX单位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20XX年X月X日</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sectPr>
          <w:footerReference r:id="rId9" w:type="default"/>
          <w:pgSz w:w="11906" w:h="16838"/>
          <w:pgMar w:top="2098" w:right="1474" w:bottom="1984" w:left="1587" w:header="851" w:footer="992" w:gutter="0"/>
          <w:pgNumType w:fmt="numberInDash" w:start="1"/>
          <w:cols w:space="0" w:num="1"/>
          <w:rtlGutter w:val="0"/>
          <w:docGrid w:type="linesAndChars" w:linePitch="579" w:charSpace="-842"/>
        </w:sectPr>
      </w:pPr>
    </w:p>
    <w:p>
      <w:pPr>
        <w:rPr>
          <w:rFonts w:hint="eastAsia" w:ascii="仿宋_GB2312" w:hAnsi="仿宋_GB2312" w:cs="仿宋_GB2312"/>
          <w:szCs w:val="32"/>
        </w:rPr>
      </w:pPr>
      <w:r>
        <w:rPr>
          <w:rFonts w:hint="eastAsia" w:ascii="仿宋_GB2312" w:hAnsi="仿宋_GB2312" w:eastAsia="仿宋_GB2312" w:cs="仿宋_GB2312"/>
          <w:sz w:val="32"/>
          <w:szCs w:val="32"/>
          <w:lang w:eastAsia="zh-CN"/>
        </w:rPr>
        <w:t>附件</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cs="仿宋_GB2312"/>
          <w:szCs w:val="32"/>
        </w:rPr>
        <w:t>主动公开目录清单模板</w:t>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白城市公共资源配置领域政府信息主动公开目录清单</w:t>
      </w:r>
    </w:p>
    <w:tbl>
      <w:tblPr>
        <w:tblStyle w:val="6"/>
        <w:tblpPr w:leftFromText="180" w:rightFromText="180" w:vertAnchor="text" w:horzAnchor="page" w:tblpX="1461" w:tblpY="613"/>
        <w:tblOverlap w:val="never"/>
        <w:tblW w:w="141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1875"/>
        <w:gridCol w:w="1937"/>
        <w:gridCol w:w="2084"/>
        <w:gridCol w:w="1500"/>
        <w:gridCol w:w="1646"/>
        <w:gridCol w:w="2263"/>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1051" w:type="dxa"/>
            <w:vAlign w:val="center"/>
          </w:tcPr>
          <w:p>
            <w:pPr>
              <w:jc w:val="center"/>
              <w:rPr>
                <w:rFonts w:hint="eastAsia" w:asciiTheme="majorEastAsia" w:hAnsiTheme="majorEastAsia" w:eastAsiaTheme="majorEastAsia" w:cstheme="majorEastAsia"/>
                <w:sz w:val="28"/>
                <w:szCs w:val="28"/>
                <w:vertAlign w:val="baseline"/>
                <w:lang w:eastAsia="zh-CN"/>
              </w:rPr>
            </w:pPr>
            <w:r>
              <w:rPr>
                <w:rFonts w:hint="eastAsia" w:asciiTheme="majorEastAsia" w:hAnsiTheme="majorEastAsia" w:eastAsiaTheme="majorEastAsia" w:cstheme="majorEastAsia"/>
                <w:sz w:val="28"/>
                <w:szCs w:val="28"/>
                <w:vertAlign w:val="baseline"/>
                <w:lang w:eastAsia="zh-CN"/>
              </w:rPr>
              <w:t>序号</w:t>
            </w:r>
          </w:p>
        </w:tc>
        <w:tc>
          <w:tcPr>
            <w:tcW w:w="1875" w:type="dxa"/>
            <w:vAlign w:val="center"/>
          </w:tcPr>
          <w:p>
            <w:pPr>
              <w:jc w:val="center"/>
              <w:rPr>
                <w:rFonts w:hint="eastAsia" w:asciiTheme="majorEastAsia" w:hAnsiTheme="majorEastAsia" w:eastAsiaTheme="majorEastAsia" w:cstheme="majorEastAsia"/>
                <w:sz w:val="28"/>
                <w:szCs w:val="28"/>
                <w:vertAlign w:val="baseline"/>
                <w:lang w:eastAsia="zh-CN"/>
              </w:rPr>
            </w:pPr>
            <w:r>
              <w:rPr>
                <w:rFonts w:hint="eastAsia" w:asciiTheme="majorEastAsia" w:hAnsiTheme="majorEastAsia" w:eastAsiaTheme="majorEastAsia" w:cstheme="majorEastAsia"/>
                <w:sz w:val="28"/>
                <w:szCs w:val="28"/>
                <w:vertAlign w:val="baseline"/>
                <w:lang w:eastAsia="zh-CN"/>
              </w:rPr>
              <w:t>公开领域</w:t>
            </w:r>
          </w:p>
        </w:tc>
        <w:tc>
          <w:tcPr>
            <w:tcW w:w="1937" w:type="dxa"/>
            <w:vAlign w:val="center"/>
          </w:tcPr>
          <w:p>
            <w:pPr>
              <w:jc w:val="center"/>
              <w:rPr>
                <w:rFonts w:hint="eastAsia" w:asciiTheme="majorEastAsia" w:hAnsiTheme="majorEastAsia" w:eastAsiaTheme="majorEastAsia" w:cstheme="majorEastAsia"/>
                <w:sz w:val="28"/>
                <w:szCs w:val="28"/>
                <w:vertAlign w:val="baseline"/>
                <w:lang w:eastAsia="zh-CN"/>
              </w:rPr>
            </w:pPr>
            <w:r>
              <w:rPr>
                <w:rFonts w:hint="eastAsia" w:asciiTheme="majorEastAsia" w:hAnsiTheme="majorEastAsia" w:eastAsiaTheme="majorEastAsia" w:cstheme="majorEastAsia"/>
                <w:sz w:val="28"/>
                <w:szCs w:val="28"/>
                <w:vertAlign w:val="baseline"/>
                <w:lang w:eastAsia="zh-CN"/>
              </w:rPr>
              <w:t>公开事项</w:t>
            </w:r>
          </w:p>
        </w:tc>
        <w:tc>
          <w:tcPr>
            <w:tcW w:w="2084" w:type="dxa"/>
            <w:vAlign w:val="center"/>
          </w:tcPr>
          <w:p>
            <w:pPr>
              <w:jc w:val="center"/>
              <w:rPr>
                <w:rFonts w:hint="eastAsia" w:asciiTheme="majorEastAsia" w:hAnsiTheme="majorEastAsia" w:eastAsiaTheme="majorEastAsia" w:cstheme="majorEastAsia"/>
                <w:sz w:val="28"/>
                <w:szCs w:val="28"/>
                <w:vertAlign w:val="baseline"/>
                <w:lang w:eastAsia="zh-CN"/>
              </w:rPr>
            </w:pPr>
            <w:r>
              <w:rPr>
                <w:rFonts w:hint="eastAsia" w:asciiTheme="majorEastAsia" w:hAnsiTheme="majorEastAsia" w:eastAsiaTheme="majorEastAsia" w:cstheme="majorEastAsia"/>
                <w:sz w:val="28"/>
                <w:szCs w:val="28"/>
                <w:vertAlign w:val="baseline"/>
                <w:lang w:eastAsia="zh-CN"/>
              </w:rPr>
              <w:t>公开内容</w:t>
            </w:r>
          </w:p>
        </w:tc>
        <w:tc>
          <w:tcPr>
            <w:tcW w:w="1500" w:type="dxa"/>
            <w:vAlign w:val="center"/>
          </w:tcPr>
          <w:p>
            <w:pPr>
              <w:jc w:val="center"/>
              <w:rPr>
                <w:rFonts w:hint="eastAsia" w:asciiTheme="majorEastAsia" w:hAnsiTheme="majorEastAsia" w:eastAsiaTheme="majorEastAsia" w:cstheme="majorEastAsia"/>
                <w:sz w:val="28"/>
                <w:szCs w:val="28"/>
                <w:vertAlign w:val="baseline"/>
                <w:lang w:eastAsia="zh-CN"/>
              </w:rPr>
            </w:pPr>
            <w:r>
              <w:rPr>
                <w:rFonts w:hint="eastAsia" w:asciiTheme="majorEastAsia" w:hAnsiTheme="majorEastAsia" w:eastAsiaTheme="majorEastAsia" w:cstheme="majorEastAsia"/>
                <w:sz w:val="28"/>
                <w:szCs w:val="28"/>
                <w:vertAlign w:val="baseline"/>
                <w:lang w:eastAsia="zh-CN"/>
              </w:rPr>
              <w:t>公开时限</w:t>
            </w:r>
          </w:p>
        </w:tc>
        <w:tc>
          <w:tcPr>
            <w:tcW w:w="1646" w:type="dxa"/>
            <w:vAlign w:val="center"/>
          </w:tcPr>
          <w:p>
            <w:pPr>
              <w:jc w:val="center"/>
              <w:rPr>
                <w:rFonts w:hint="eastAsia" w:asciiTheme="majorEastAsia" w:hAnsiTheme="majorEastAsia" w:eastAsiaTheme="majorEastAsia" w:cstheme="majorEastAsia"/>
                <w:sz w:val="28"/>
                <w:szCs w:val="28"/>
                <w:vertAlign w:val="baseline"/>
                <w:lang w:eastAsia="zh-CN"/>
              </w:rPr>
            </w:pPr>
            <w:r>
              <w:rPr>
                <w:rFonts w:hint="eastAsia" w:asciiTheme="majorEastAsia" w:hAnsiTheme="majorEastAsia" w:eastAsiaTheme="majorEastAsia" w:cstheme="majorEastAsia"/>
                <w:sz w:val="28"/>
                <w:szCs w:val="28"/>
                <w:vertAlign w:val="baseline"/>
                <w:lang w:eastAsia="zh-CN"/>
              </w:rPr>
              <w:t>公开方式</w:t>
            </w:r>
          </w:p>
        </w:tc>
        <w:tc>
          <w:tcPr>
            <w:tcW w:w="2263" w:type="dxa"/>
            <w:vAlign w:val="center"/>
          </w:tcPr>
          <w:p>
            <w:pPr>
              <w:jc w:val="center"/>
              <w:rPr>
                <w:rFonts w:hint="eastAsia" w:asciiTheme="majorEastAsia" w:hAnsiTheme="majorEastAsia" w:eastAsiaTheme="majorEastAsia" w:cstheme="majorEastAsia"/>
                <w:sz w:val="28"/>
                <w:szCs w:val="28"/>
                <w:vertAlign w:val="baseline"/>
                <w:lang w:eastAsia="zh-CN"/>
              </w:rPr>
            </w:pPr>
            <w:r>
              <w:rPr>
                <w:rFonts w:hint="eastAsia" w:asciiTheme="majorEastAsia" w:hAnsiTheme="majorEastAsia" w:eastAsiaTheme="majorEastAsia" w:cstheme="majorEastAsia"/>
                <w:sz w:val="28"/>
                <w:szCs w:val="28"/>
                <w:vertAlign w:val="baseline"/>
                <w:lang w:eastAsia="zh-CN"/>
              </w:rPr>
              <w:t>公开责任主体</w:t>
            </w:r>
          </w:p>
        </w:tc>
        <w:tc>
          <w:tcPr>
            <w:tcW w:w="1764" w:type="dxa"/>
            <w:vAlign w:val="center"/>
          </w:tcPr>
          <w:p>
            <w:pPr>
              <w:jc w:val="center"/>
              <w:rPr>
                <w:rFonts w:hint="eastAsia" w:asciiTheme="majorEastAsia" w:hAnsiTheme="majorEastAsia" w:eastAsiaTheme="majorEastAsia" w:cstheme="majorEastAsia"/>
                <w:sz w:val="28"/>
                <w:szCs w:val="28"/>
                <w:vertAlign w:val="baseline"/>
                <w:lang w:eastAsia="zh-CN"/>
              </w:rPr>
            </w:pPr>
            <w:r>
              <w:rPr>
                <w:rFonts w:hint="eastAsia" w:asciiTheme="majorEastAsia" w:hAnsiTheme="majorEastAsia" w:eastAsiaTheme="majorEastAsia" w:cstheme="majorEastAsia"/>
                <w:sz w:val="28"/>
                <w:szCs w:val="28"/>
                <w:vertAlign w:val="baseline"/>
                <w:lang w:eastAsia="zh-CN"/>
              </w:rPr>
              <w:t>监督渠道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051" w:type="dxa"/>
            <w:vAlign w:val="center"/>
          </w:tcPr>
          <w:p>
            <w:pPr>
              <w:jc w:val="center"/>
              <w:rPr>
                <w:rFonts w:hint="default"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1</w:t>
            </w:r>
          </w:p>
        </w:tc>
        <w:tc>
          <w:tcPr>
            <w:tcW w:w="1875"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1937"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2084"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1500"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1646"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2263"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1764" w:type="dxa"/>
            <w:vAlign w:val="center"/>
          </w:tcPr>
          <w:p>
            <w:pPr>
              <w:jc w:val="center"/>
              <w:rPr>
                <w:rFonts w:hint="eastAsia" w:asciiTheme="majorEastAsia" w:hAnsiTheme="majorEastAsia" w:eastAsiaTheme="majorEastAsia" w:cstheme="major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051" w:type="dxa"/>
            <w:vAlign w:val="center"/>
          </w:tcPr>
          <w:p>
            <w:pPr>
              <w:jc w:val="center"/>
              <w:rPr>
                <w:rFonts w:hint="default"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2</w:t>
            </w:r>
          </w:p>
        </w:tc>
        <w:tc>
          <w:tcPr>
            <w:tcW w:w="1875"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1937"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2084"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1500"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1646"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2263"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1764" w:type="dxa"/>
            <w:vAlign w:val="center"/>
          </w:tcPr>
          <w:p>
            <w:pPr>
              <w:jc w:val="center"/>
              <w:rPr>
                <w:rFonts w:hint="eastAsia" w:asciiTheme="majorEastAsia" w:hAnsiTheme="majorEastAsia" w:eastAsiaTheme="majorEastAsia" w:cstheme="major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051" w:type="dxa"/>
            <w:vAlign w:val="center"/>
          </w:tcPr>
          <w:p>
            <w:pPr>
              <w:jc w:val="center"/>
              <w:rPr>
                <w:rFonts w:hint="default"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3</w:t>
            </w:r>
          </w:p>
        </w:tc>
        <w:tc>
          <w:tcPr>
            <w:tcW w:w="1875"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1937"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2084"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1500"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1646"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2263"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1764" w:type="dxa"/>
            <w:vAlign w:val="center"/>
          </w:tcPr>
          <w:p>
            <w:pPr>
              <w:jc w:val="center"/>
              <w:rPr>
                <w:rFonts w:hint="eastAsia" w:asciiTheme="majorEastAsia" w:hAnsiTheme="majorEastAsia" w:eastAsiaTheme="majorEastAsia" w:cstheme="major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051" w:type="dxa"/>
            <w:vAlign w:val="center"/>
          </w:tcPr>
          <w:p>
            <w:pPr>
              <w:jc w:val="center"/>
              <w:rPr>
                <w:rFonts w:hint="default"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4</w:t>
            </w:r>
          </w:p>
        </w:tc>
        <w:tc>
          <w:tcPr>
            <w:tcW w:w="1875"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1937"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2084"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1500"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1646"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2263"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1764" w:type="dxa"/>
            <w:vAlign w:val="center"/>
          </w:tcPr>
          <w:p>
            <w:pPr>
              <w:jc w:val="center"/>
              <w:rPr>
                <w:rFonts w:hint="eastAsia" w:asciiTheme="majorEastAsia" w:hAnsiTheme="majorEastAsia" w:eastAsiaTheme="majorEastAsia" w:cstheme="major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1051" w:type="dxa"/>
            <w:vAlign w:val="center"/>
          </w:tcPr>
          <w:p>
            <w:pPr>
              <w:jc w:val="center"/>
              <w:rPr>
                <w:rFonts w:hint="default"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5</w:t>
            </w:r>
          </w:p>
        </w:tc>
        <w:tc>
          <w:tcPr>
            <w:tcW w:w="1875"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1937"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2084"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1500"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1646"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2263" w:type="dxa"/>
            <w:vAlign w:val="center"/>
          </w:tcPr>
          <w:p>
            <w:pPr>
              <w:jc w:val="center"/>
              <w:rPr>
                <w:rFonts w:hint="eastAsia" w:asciiTheme="majorEastAsia" w:hAnsiTheme="majorEastAsia" w:eastAsiaTheme="majorEastAsia" w:cstheme="majorEastAsia"/>
                <w:sz w:val="28"/>
                <w:szCs w:val="28"/>
                <w:vertAlign w:val="baseline"/>
                <w:lang w:eastAsia="zh-CN"/>
              </w:rPr>
            </w:pPr>
          </w:p>
        </w:tc>
        <w:tc>
          <w:tcPr>
            <w:tcW w:w="1764" w:type="dxa"/>
            <w:vAlign w:val="center"/>
          </w:tcPr>
          <w:p>
            <w:pPr>
              <w:jc w:val="center"/>
              <w:rPr>
                <w:rFonts w:hint="eastAsia" w:asciiTheme="majorEastAsia" w:hAnsiTheme="majorEastAsia" w:eastAsiaTheme="majorEastAsia" w:cstheme="majorEastAsia"/>
                <w:sz w:val="28"/>
                <w:szCs w:val="28"/>
                <w:vertAlign w:val="baseline"/>
                <w:lang w:eastAsia="zh-CN"/>
              </w:rPr>
            </w:pPr>
          </w:p>
        </w:tc>
      </w:tr>
    </w:tbl>
    <w:p>
      <w:pPr>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eastAsia="zh-CN"/>
        </w:rPr>
        <w:t>填报地区（部门）：</w:t>
      </w:r>
      <w:r>
        <w:rPr>
          <w:rFonts w:hint="eastAsia" w:asciiTheme="majorEastAsia" w:hAnsiTheme="majorEastAsia" w:eastAsiaTheme="majorEastAsia" w:cstheme="majorEastAsia"/>
          <w:sz w:val="24"/>
          <w:szCs w:val="24"/>
          <w:lang w:val="en-US" w:eastAsia="zh-CN"/>
        </w:rPr>
        <w:t>（公章）                              填报人：          联系方式：              日期：</w:t>
      </w:r>
    </w:p>
    <w:p>
      <w:pPr>
        <w:keepNext w:val="0"/>
        <w:keepLines w:val="0"/>
        <w:pageBreakBefore w:val="0"/>
        <w:widowControl/>
        <w:kinsoku/>
        <w:wordWrap/>
        <w:overflowPunct/>
        <w:topLinePunct w:val="0"/>
        <w:autoSpaceDE/>
        <w:autoSpaceDN/>
        <w:bidi w:val="0"/>
        <w:adjustRightInd/>
        <w:snapToGrid/>
        <w:spacing w:line="340" w:lineRule="exact"/>
        <w:ind w:left="-379" w:leftChars="-120" w:right="-783" w:rightChars="-248" w:firstLine="220" w:firstLineChars="93"/>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填表说明：</w:t>
      </w:r>
    </w:p>
    <w:p>
      <w:pPr>
        <w:keepNext w:val="0"/>
        <w:keepLines w:val="0"/>
        <w:pageBreakBefore w:val="0"/>
        <w:widowControl/>
        <w:kinsoku/>
        <w:wordWrap/>
        <w:overflowPunct/>
        <w:topLinePunct w:val="0"/>
        <w:autoSpaceDE/>
        <w:autoSpaceDN/>
        <w:bidi w:val="0"/>
        <w:adjustRightInd/>
        <w:snapToGrid/>
        <w:spacing w:line="340" w:lineRule="exact"/>
        <w:ind w:right="-783" w:rightChars="-248"/>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1、“公开领域、公开事项、公开内容”请各部门对照吉政办发〔2018〕20号文“三、公开范围及重点任务”中内容填写；</w:t>
      </w:r>
    </w:p>
    <w:p>
      <w:pPr>
        <w:keepNext w:val="0"/>
        <w:keepLines w:val="0"/>
        <w:pageBreakBefore w:val="0"/>
        <w:widowControl/>
        <w:numPr>
          <w:ilvl w:val="0"/>
          <w:numId w:val="2"/>
        </w:numPr>
        <w:kinsoku/>
        <w:wordWrap/>
        <w:overflowPunct/>
        <w:topLinePunct w:val="0"/>
        <w:autoSpaceDE/>
        <w:autoSpaceDN/>
        <w:bidi w:val="0"/>
        <w:adjustRightInd/>
        <w:snapToGrid/>
        <w:spacing w:line="340" w:lineRule="exact"/>
        <w:jc w:val="both"/>
        <w:textAlignment w:val="auto"/>
        <w:rPr>
          <w:rFonts w:hint="eastAsia" w:ascii="仿宋_GB2312" w:hAnsi="仿宋_GB2312" w:cs="仿宋_GB2312"/>
          <w:sz w:val="24"/>
          <w:szCs w:val="24"/>
          <w:lang w:val="en-US" w:eastAsia="zh-CN"/>
        </w:rPr>
      </w:pPr>
      <w:r>
        <w:rPr>
          <w:rFonts w:hint="eastAsia" w:ascii="仿宋_GB2312" w:hAnsi="仿宋_GB2312" w:cs="仿宋_GB2312"/>
          <w:sz w:val="24"/>
          <w:szCs w:val="24"/>
          <w:lang w:val="en-US" w:eastAsia="zh-CN"/>
        </w:rPr>
        <w:t>“公开时限”按照《政府信息公开条例》和有关法律法规的要求填写；</w:t>
      </w:r>
    </w:p>
    <w:p>
      <w:pPr>
        <w:keepNext w:val="0"/>
        <w:keepLines w:val="0"/>
        <w:pageBreakBefore w:val="0"/>
        <w:widowControl/>
        <w:numPr>
          <w:ilvl w:val="0"/>
          <w:numId w:val="2"/>
        </w:numPr>
        <w:kinsoku/>
        <w:wordWrap/>
        <w:overflowPunct/>
        <w:topLinePunct w:val="0"/>
        <w:autoSpaceDE/>
        <w:autoSpaceDN/>
        <w:bidi w:val="0"/>
        <w:adjustRightInd/>
        <w:snapToGrid/>
        <w:spacing w:line="340" w:lineRule="exact"/>
        <w:ind w:left="0" w:leftChars="0" w:firstLine="0" w:firstLineChars="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“公开方式”可根据实际情况填白城市政府网、本部门网站、白城市公共资源交易平台等；</w:t>
      </w:r>
    </w:p>
    <w:p>
      <w:pPr>
        <w:keepNext w:val="0"/>
        <w:keepLines w:val="0"/>
        <w:pageBreakBefore w:val="0"/>
        <w:widowControl/>
        <w:numPr>
          <w:ilvl w:val="0"/>
          <w:numId w:val="2"/>
        </w:numPr>
        <w:kinsoku/>
        <w:wordWrap/>
        <w:overflowPunct/>
        <w:topLinePunct w:val="0"/>
        <w:autoSpaceDE/>
        <w:autoSpaceDN/>
        <w:bidi w:val="0"/>
        <w:adjustRightInd/>
        <w:snapToGrid/>
        <w:spacing w:line="340" w:lineRule="exact"/>
        <w:ind w:left="0" w:leftChars="0" w:firstLine="0" w:firstLineChars="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“公开责任主体”按照“谁批准、谁公开，谁实施、谁公开，谁制作、谁公开”的原则填写；</w:t>
      </w:r>
    </w:p>
    <w:p>
      <w:pPr>
        <w:keepNext w:val="0"/>
        <w:keepLines w:val="0"/>
        <w:pageBreakBefore w:val="0"/>
        <w:widowControl/>
        <w:numPr>
          <w:numId w:val="0"/>
        </w:numPr>
        <w:kinsoku/>
        <w:wordWrap/>
        <w:overflowPunct/>
        <w:topLinePunct w:val="0"/>
        <w:autoSpaceDE/>
        <w:autoSpaceDN/>
        <w:bidi w:val="0"/>
        <w:adjustRightInd/>
        <w:snapToGrid/>
        <w:spacing w:line="340" w:lineRule="exact"/>
        <w:ind w:leftChars="0"/>
        <w:jc w:val="both"/>
        <w:textAlignment w:val="auto"/>
        <w:rPr>
          <w:rFonts w:hint="eastAsia" w:ascii="仿宋_GB2312" w:hAnsi="仿宋_GB2312" w:cs="仿宋_GB2312"/>
          <w:sz w:val="24"/>
          <w:szCs w:val="24"/>
          <w:lang w:val="en-US" w:eastAsia="zh-CN"/>
        </w:rPr>
      </w:pPr>
      <w:r>
        <w:rPr>
          <w:rFonts w:hint="eastAsia" w:ascii="仿宋_GB2312" w:hAnsi="仿宋_GB2312" w:eastAsia="仿宋_GB2312" w:cs="仿宋_GB2312"/>
          <w:sz w:val="24"/>
          <w:szCs w:val="24"/>
          <w:lang w:val="en-US" w:eastAsia="zh-CN"/>
        </w:rPr>
        <w:t>5</w:t>
      </w:r>
      <w:r>
        <w:rPr>
          <w:rFonts w:hint="eastAsia" w:ascii="仿宋_GB2312" w:hAnsi="仿宋_GB2312" w:cs="仿宋_GB2312"/>
          <w:sz w:val="24"/>
          <w:szCs w:val="24"/>
          <w:lang w:val="en-US" w:eastAsia="zh-CN"/>
        </w:rPr>
        <w:t>、“监督渠道”填写举报、投诉联系方式；</w:t>
      </w:r>
    </w:p>
    <w:p>
      <w:pPr>
        <w:keepNext w:val="0"/>
        <w:keepLines w:val="0"/>
        <w:pageBreakBefore w:val="0"/>
        <w:widowControl/>
        <w:numPr>
          <w:numId w:val="0"/>
        </w:numPr>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6、市直各委、办、局如不涉及到表上内容，请在表格中填写“无”并反馈。</w:t>
      </w:r>
      <w:bookmarkStart w:id="0" w:name="_GoBack"/>
      <w:bookmarkEnd w:id="0"/>
    </w:p>
    <w:sectPr>
      <w:pgSz w:w="16838" w:h="11906" w:orient="landscape"/>
      <w:pgMar w:top="1587" w:right="2098" w:bottom="1474" w:left="1364" w:header="851" w:footer="992" w:gutter="0"/>
      <w:paperSrc/>
      <w:pgNumType w:fmt="numberInDash" w:start="1"/>
      <w:cols w:space="0" w:num="1"/>
      <w:rtlGutter w:val="0"/>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eastAsia="宋体"/>
                            </w:rPr>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2"/>
                      <w:rPr>
                        <w:rFonts w:eastAsia="宋体"/>
                      </w:rPr>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DAEDAD"/>
    <w:multiLevelType w:val="singleLevel"/>
    <w:tmpl w:val="84DAEDAD"/>
    <w:lvl w:ilvl="0" w:tentative="0">
      <w:start w:val="2"/>
      <w:numFmt w:val="chineseCounting"/>
      <w:suff w:val="nothing"/>
      <w:lvlText w:val="（%1）"/>
      <w:lvlJc w:val="left"/>
      <w:rPr>
        <w:rFonts w:hint="eastAsia"/>
      </w:rPr>
    </w:lvl>
  </w:abstractNum>
  <w:abstractNum w:abstractNumId="1">
    <w:nsid w:val="7EC980EA"/>
    <w:multiLevelType w:val="singleLevel"/>
    <w:tmpl w:val="7EC980EA"/>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HorizontalSpacing w:val="158"/>
  <w:drawingGridVerticalSpacing w:val="295"/>
  <w:displayHorizontalDrawingGridEvery w:val="1"/>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FD"/>
    <w:rsid w:val="0000322A"/>
    <w:rsid w:val="00005D92"/>
    <w:rsid w:val="0003130A"/>
    <w:rsid w:val="000576F6"/>
    <w:rsid w:val="00093C2C"/>
    <w:rsid w:val="001208FD"/>
    <w:rsid w:val="00122D37"/>
    <w:rsid w:val="001267FB"/>
    <w:rsid w:val="001572A8"/>
    <w:rsid w:val="001E05CF"/>
    <w:rsid w:val="002234C4"/>
    <w:rsid w:val="00256179"/>
    <w:rsid w:val="002773F9"/>
    <w:rsid w:val="0028092D"/>
    <w:rsid w:val="002B01A7"/>
    <w:rsid w:val="002D7C0E"/>
    <w:rsid w:val="0031062C"/>
    <w:rsid w:val="003D36C7"/>
    <w:rsid w:val="004C0E29"/>
    <w:rsid w:val="004F61C8"/>
    <w:rsid w:val="00504F73"/>
    <w:rsid w:val="00524522"/>
    <w:rsid w:val="00533B11"/>
    <w:rsid w:val="00547658"/>
    <w:rsid w:val="005D6D1A"/>
    <w:rsid w:val="006D2668"/>
    <w:rsid w:val="00701C35"/>
    <w:rsid w:val="00702CF8"/>
    <w:rsid w:val="00714BBF"/>
    <w:rsid w:val="00714F0D"/>
    <w:rsid w:val="007E3D7F"/>
    <w:rsid w:val="00821765"/>
    <w:rsid w:val="00834377"/>
    <w:rsid w:val="008502B1"/>
    <w:rsid w:val="008628E6"/>
    <w:rsid w:val="00873448"/>
    <w:rsid w:val="008756B5"/>
    <w:rsid w:val="008D3326"/>
    <w:rsid w:val="008E39CA"/>
    <w:rsid w:val="008E71FF"/>
    <w:rsid w:val="008F74B4"/>
    <w:rsid w:val="009078B0"/>
    <w:rsid w:val="0093772C"/>
    <w:rsid w:val="0096226D"/>
    <w:rsid w:val="00991BF7"/>
    <w:rsid w:val="009B3961"/>
    <w:rsid w:val="00A00F93"/>
    <w:rsid w:val="00A152DB"/>
    <w:rsid w:val="00A44A22"/>
    <w:rsid w:val="00A64A01"/>
    <w:rsid w:val="00AD1670"/>
    <w:rsid w:val="00B11A6C"/>
    <w:rsid w:val="00B13A74"/>
    <w:rsid w:val="00B2452C"/>
    <w:rsid w:val="00B74F44"/>
    <w:rsid w:val="00B94841"/>
    <w:rsid w:val="00C02466"/>
    <w:rsid w:val="00C20022"/>
    <w:rsid w:val="00C435FF"/>
    <w:rsid w:val="00C71957"/>
    <w:rsid w:val="00C81FE6"/>
    <w:rsid w:val="00CC7062"/>
    <w:rsid w:val="00D37B6D"/>
    <w:rsid w:val="00DD5AC1"/>
    <w:rsid w:val="00E121C2"/>
    <w:rsid w:val="00EC3C60"/>
    <w:rsid w:val="00F01CB1"/>
    <w:rsid w:val="00F638FF"/>
    <w:rsid w:val="00F77855"/>
    <w:rsid w:val="00FC5448"/>
    <w:rsid w:val="02467499"/>
    <w:rsid w:val="02BF2992"/>
    <w:rsid w:val="02FC47C2"/>
    <w:rsid w:val="03627EBE"/>
    <w:rsid w:val="051A3F2E"/>
    <w:rsid w:val="051E01CC"/>
    <w:rsid w:val="05564B6A"/>
    <w:rsid w:val="05EC3057"/>
    <w:rsid w:val="06641C19"/>
    <w:rsid w:val="088B5A16"/>
    <w:rsid w:val="09177A63"/>
    <w:rsid w:val="0A9B37D7"/>
    <w:rsid w:val="0AC67B40"/>
    <w:rsid w:val="0BBF7774"/>
    <w:rsid w:val="0F4709B2"/>
    <w:rsid w:val="128772D9"/>
    <w:rsid w:val="160C5AFF"/>
    <w:rsid w:val="19A03E3A"/>
    <w:rsid w:val="1A806749"/>
    <w:rsid w:val="1AFE0C08"/>
    <w:rsid w:val="1C113AA1"/>
    <w:rsid w:val="1E5C17E0"/>
    <w:rsid w:val="1F9D202B"/>
    <w:rsid w:val="1FAA6CFB"/>
    <w:rsid w:val="1FFB3FD8"/>
    <w:rsid w:val="226F67D7"/>
    <w:rsid w:val="231A763F"/>
    <w:rsid w:val="270408F5"/>
    <w:rsid w:val="298B2CD7"/>
    <w:rsid w:val="2A3929E6"/>
    <w:rsid w:val="2A965C68"/>
    <w:rsid w:val="2B8211C5"/>
    <w:rsid w:val="2FAC167E"/>
    <w:rsid w:val="2FD61290"/>
    <w:rsid w:val="302226CD"/>
    <w:rsid w:val="30542D80"/>
    <w:rsid w:val="314816BA"/>
    <w:rsid w:val="32040D58"/>
    <w:rsid w:val="34D971FB"/>
    <w:rsid w:val="35D06882"/>
    <w:rsid w:val="37073123"/>
    <w:rsid w:val="38AA7EB8"/>
    <w:rsid w:val="3A0C2E1D"/>
    <w:rsid w:val="3DB137D5"/>
    <w:rsid w:val="3ED371BC"/>
    <w:rsid w:val="41CA6A2A"/>
    <w:rsid w:val="42515420"/>
    <w:rsid w:val="440F5281"/>
    <w:rsid w:val="451C7813"/>
    <w:rsid w:val="459127FD"/>
    <w:rsid w:val="45AA1085"/>
    <w:rsid w:val="45AC5A91"/>
    <w:rsid w:val="4A604B71"/>
    <w:rsid w:val="4D717403"/>
    <w:rsid w:val="4E58182B"/>
    <w:rsid w:val="506170CB"/>
    <w:rsid w:val="522B4CE1"/>
    <w:rsid w:val="53CF0FC3"/>
    <w:rsid w:val="545E3E72"/>
    <w:rsid w:val="55FB28F7"/>
    <w:rsid w:val="55FD2DC5"/>
    <w:rsid w:val="588D16CF"/>
    <w:rsid w:val="58C00D4E"/>
    <w:rsid w:val="58D027D4"/>
    <w:rsid w:val="590F125D"/>
    <w:rsid w:val="59271E6C"/>
    <w:rsid w:val="5BDB659F"/>
    <w:rsid w:val="5D3C1275"/>
    <w:rsid w:val="5D59597A"/>
    <w:rsid w:val="5D59773D"/>
    <w:rsid w:val="5D687C75"/>
    <w:rsid w:val="5E0F1642"/>
    <w:rsid w:val="5E434E8C"/>
    <w:rsid w:val="5EC6255F"/>
    <w:rsid w:val="600C520D"/>
    <w:rsid w:val="62DA31EF"/>
    <w:rsid w:val="63CD2BB5"/>
    <w:rsid w:val="63D24F12"/>
    <w:rsid w:val="66D4494B"/>
    <w:rsid w:val="69803E03"/>
    <w:rsid w:val="6B4825CA"/>
    <w:rsid w:val="6D4459BD"/>
    <w:rsid w:val="6F527A63"/>
    <w:rsid w:val="731A45AA"/>
    <w:rsid w:val="73C06A7B"/>
    <w:rsid w:val="73C50E16"/>
    <w:rsid w:val="7416397B"/>
    <w:rsid w:val="754E2A2A"/>
    <w:rsid w:val="755B1BA1"/>
    <w:rsid w:val="75B200F1"/>
    <w:rsid w:val="77F545E0"/>
    <w:rsid w:val="78E60AD5"/>
    <w:rsid w:val="7B336ED6"/>
    <w:rsid w:val="7B893927"/>
    <w:rsid w:val="7C174A85"/>
    <w:rsid w:val="7C9A6DE1"/>
    <w:rsid w:val="7E6D489D"/>
    <w:rsid w:val="7EE83A44"/>
    <w:rsid w:val="7FAD3FC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仿宋_GB2312" w:cs="Times New Roman"/>
      <w:kern w:val="0"/>
      <w:sz w:val="32"/>
      <w:szCs w:val="24"/>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pPr>
    <w:rPr>
      <w:sz w:val="18"/>
    </w:rPr>
  </w:style>
  <w:style w:type="paragraph" w:styleId="3">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4">
    <w:name w:val="Normal (Web)"/>
    <w:basedOn w:val="1"/>
    <w:qFormat/>
    <w:uiPriority w:val="99"/>
    <w:pPr>
      <w:spacing w:beforeAutospacing="1" w:afterAutospacing="1"/>
    </w:pPr>
    <w:rPr>
      <w:sz w:val="24"/>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99"/>
    <w:rPr>
      <w:rFonts w:cs="Times New Roman"/>
      <w:b/>
    </w:rPr>
  </w:style>
  <w:style w:type="character" w:styleId="9">
    <w:name w:val="Hyperlink"/>
    <w:basedOn w:val="7"/>
    <w:semiHidden/>
    <w:unhideWhenUsed/>
    <w:qFormat/>
    <w:uiPriority w:val="99"/>
    <w:rPr>
      <w:color w:val="0000FF"/>
      <w:u w:val="single"/>
    </w:rPr>
  </w:style>
  <w:style w:type="character" w:customStyle="1" w:styleId="10">
    <w:name w:val="Footer Char"/>
    <w:basedOn w:val="7"/>
    <w:link w:val="2"/>
    <w:semiHidden/>
    <w:qFormat/>
    <w:uiPriority w:val="99"/>
    <w:rPr>
      <w:rFonts w:ascii="Calibri" w:hAnsi="Calibri" w:eastAsia="仿宋_GB2312"/>
      <w:kern w:val="0"/>
      <w:sz w:val="18"/>
      <w:szCs w:val="18"/>
    </w:rPr>
  </w:style>
  <w:style w:type="character" w:customStyle="1" w:styleId="11">
    <w:name w:val="Header Char"/>
    <w:basedOn w:val="7"/>
    <w:link w:val="3"/>
    <w:semiHidden/>
    <w:qFormat/>
    <w:uiPriority w:val="99"/>
    <w:rPr>
      <w:rFonts w:ascii="Calibri" w:hAnsi="Calibri" w:eastAsia="仿宋_GB2312"/>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670</Words>
  <Characters>785</Characters>
  <Lines>0</Lines>
  <Paragraphs>0</Paragraphs>
  <TotalTime>11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知明1400651905</cp:lastModifiedBy>
  <cp:lastPrinted>2019-05-24T06:25:00Z</cp:lastPrinted>
  <dcterms:modified xsi:type="dcterms:W3CDTF">2019-06-02T08:11:01Z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