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distribute"/>
        <w:rPr>
          <w:rFonts w:eastAsia="华文新魏"/>
          <w:b/>
          <w:spacing w:val="-70"/>
          <w:sz w:val="72"/>
          <w:szCs w:val="72"/>
        </w:rPr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</w:pP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政府采购及网上交易软件</w:t>
      </w:r>
    </w:p>
    <w:p>
      <w:pPr>
        <w:spacing w:line="360" w:lineRule="auto"/>
        <w:jc w:val="center"/>
        <w:rPr>
          <w:rFonts w:eastAsia="黑体"/>
          <w:b/>
          <w:sz w:val="52"/>
          <w:szCs w:val="52"/>
        </w:rPr>
      </w:pPr>
      <w:r>
        <w:rPr>
          <w:rFonts w:hint="eastAsia" w:eastAsia="黑体"/>
          <w:b/>
          <w:sz w:val="52"/>
          <w:szCs w:val="52"/>
        </w:rPr>
        <w:t>政府采购代理操作手册</w:t>
      </w:r>
    </w:p>
    <w:p>
      <w:pPr>
        <w:widowControl/>
        <w:spacing w:line="360" w:lineRule="auto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>
      <w:pPr>
        <w:pStyle w:val="19"/>
        <w:spacing w:line="360" w:lineRule="auto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t>目录</w:t>
      </w:r>
    </w:p>
    <w:p>
      <w:pPr>
        <w:pStyle w:val="19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TOC \o "1-6" \h \z \u </w:instrText>
      </w:r>
      <w:r>
        <w:fldChar w:fldCharType="separate"/>
      </w:r>
      <w:r>
        <w:fldChar w:fldCharType="begin"/>
      </w:r>
      <w:r>
        <w:instrText xml:space="preserve"> HYPERLINK \l "_Toc475978914" </w:instrText>
      </w:r>
      <w:r>
        <w:fldChar w:fldCharType="separate"/>
      </w:r>
      <w:r>
        <w:rPr>
          <w:rStyle w:val="26"/>
          <w:rFonts w:hint="eastAsia"/>
        </w:rPr>
        <w:t>一、 系统前期准备</w:t>
      </w:r>
      <w:r>
        <w:tab/>
      </w:r>
      <w:r>
        <w:fldChar w:fldCharType="begin"/>
      </w:r>
      <w:r>
        <w:instrText xml:space="preserve"> PAGEREF _Toc475978914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"_Toc475978915" </w:instrText>
      </w:r>
      <w:r>
        <w:fldChar w:fldCharType="separate"/>
      </w:r>
      <w:r>
        <w:rPr>
          <w:rStyle w:val="26"/>
          <w:rFonts w:hint="eastAsia"/>
        </w:rPr>
        <w:t>1.1、 驱动安装说明</w:t>
      </w:r>
      <w:r>
        <w:tab/>
      </w:r>
      <w:r>
        <w:fldChar w:fldCharType="begin"/>
      </w:r>
      <w:r>
        <w:instrText xml:space="preserve"> PAGEREF _Toc475978915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"_Toc475978916" </w:instrText>
      </w:r>
      <w:r>
        <w:fldChar w:fldCharType="separate"/>
      </w:r>
      <w:r>
        <w:rPr>
          <w:rStyle w:val="26"/>
          <w:rFonts w:hint="eastAsia"/>
        </w:rPr>
        <w:t>1.1.1、 安装驱动程序</w:t>
      </w:r>
      <w:r>
        <w:tab/>
      </w:r>
      <w:r>
        <w:fldChar w:fldCharType="begin"/>
      </w:r>
      <w:r>
        <w:instrText xml:space="preserve"> PAGEREF _Toc475978916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"_Toc475978917" </w:instrText>
      </w:r>
      <w:r>
        <w:fldChar w:fldCharType="separate"/>
      </w:r>
      <w:r>
        <w:rPr>
          <w:rStyle w:val="26"/>
          <w:rFonts w:hint="eastAsia"/>
        </w:rPr>
        <w:t>1.1.2、 安装</w:t>
      </w:r>
      <w:r>
        <w:rPr>
          <w:rStyle w:val="26"/>
        </w:rPr>
        <w:t>IC</w:t>
      </w:r>
      <w:r>
        <w:rPr>
          <w:rStyle w:val="26"/>
          <w:rFonts w:hint="eastAsia"/>
        </w:rPr>
        <w:t>卡读卡驱动</w:t>
      </w:r>
      <w:r>
        <w:tab/>
      </w:r>
      <w:r>
        <w:fldChar w:fldCharType="begin"/>
      </w:r>
      <w:r>
        <w:instrText xml:space="preserve"> PAGEREF _Toc475978917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"_Toc475978918" </w:instrText>
      </w:r>
      <w:r>
        <w:fldChar w:fldCharType="separate"/>
      </w:r>
      <w:r>
        <w:rPr>
          <w:rStyle w:val="26"/>
          <w:rFonts w:hint="eastAsia"/>
        </w:rPr>
        <w:t>1.2、 证书工具</w:t>
      </w:r>
      <w:r>
        <w:tab/>
      </w:r>
      <w:r>
        <w:fldChar w:fldCharType="begin"/>
      </w:r>
      <w:r>
        <w:instrText xml:space="preserve"> PAGEREF _Toc475978918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"_Toc475978919" </w:instrText>
      </w:r>
      <w:r>
        <w:fldChar w:fldCharType="separate"/>
      </w:r>
      <w:r>
        <w:rPr>
          <w:rStyle w:val="26"/>
          <w:rFonts w:hint="eastAsia"/>
        </w:rPr>
        <w:t>1.2.1、 修改口令</w:t>
      </w:r>
      <w:r>
        <w:tab/>
      </w:r>
      <w:r>
        <w:fldChar w:fldCharType="begin"/>
      </w:r>
      <w:r>
        <w:instrText xml:space="preserve"> PAGEREF _Toc475978919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"_Toc475978920" </w:instrText>
      </w:r>
      <w:r>
        <w:fldChar w:fldCharType="separate"/>
      </w:r>
      <w:r>
        <w:rPr>
          <w:rStyle w:val="26"/>
          <w:rFonts w:hint="eastAsia"/>
        </w:rPr>
        <w:t>1.3、 检测工具</w:t>
      </w:r>
      <w:r>
        <w:tab/>
      </w:r>
      <w:r>
        <w:fldChar w:fldCharType="begin"/>
      </w:r>
      <w:r>
        <w:instrText xml:space="preserve"> PAGEREF _Toc475978920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"_Toc475978921" </w:instrText>
      </w:r>
      <w:r>
        <w:fldChar w:fldCharType="separate"/>
      </w:r>
      <w:r>
        <w:rPr>
          <w:rStyle w:val="26"/>
          <w:rFonts w:hint="eastAsia"/>
        </w:rPr>
        <w:t>1.3.1、 启动检测工具</w:t>
      </w:r>
      <w:r>
        <w:tab/>
      </w:r>
      <w:r>
        <w:fldChar w:fldCharType="begin"/>
      </w:r>
      <w:r>
        <w:instrText xml:space="preserve"> PAGEREF _Toc475978921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"_Toc475978922" </w:instrText>
      </w:r>
      <w:r>
        <w:fldChar w:fldCharType="separate"/>
      </w:r>
      <w:r>
        <w:rPr>
          <w:rStyle w:val="26"/>
          <w:rFonts w:hint="eastAsia"/>
        </w:rPr>
        <w:t>1.3.2、 系统检测</w:t>
      </w:r>
      <w:r>
        <w:tab/>
      </w:r>
      <w:r>
        <w:fldChar w:fldCharType="begin"/>
      </w:r>
      <w:r>
        <w:instrText xml:space="preserve"> PAGEREF _Toc475978922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"_Toc475978923" </w:instrText>
      </w:r>
      <w:r>
        <w:fldChar w:fldCharType="separate"/>
      </w:r>
      <w:r>
        <w:rPr>
          <w:rStyle w:val="26"/>
          <w:rFonts w:hint="eastAsia"/>
        </w:rPr>
        <w:t>1.3.3、 控件检测</w:t>
      </w:r>
      <w:r>
        <w:tab/>
      </w:r>
      <w:r>
        <w:fldChar w:fldCharType="begin"/>
      </w:r>
      <w:r>
        <w:instrText xml:space="preserve"> PAGEREF _Toc475978923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"_Toc475978924" </w:instrText>
      </w:r>
      <w:r>
        <w:fldChar w:fldCharType="separate"/>
      </w:r>
      <w:r>
        <w:rPr>
          <w:rStyle w:val="26"/>
          <w:rFonts w:hint="eastAsia"/>
        </w:rPr>
        <w:t>1.3.4、 证书检测</w:t>
      </w:r>
      <w:r>
        <w:tab/>
      </w:r>
      <w:r>
        <w:fldChar w:fldCharType="begin"/>
      </w:r>
      <w:r>
        <w:instrText xml:space="preserve"> PAGEREF _Toc475978924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"_Toc475978925" </w:instrText>
      </w:r>
      <w:r>
        <w:fldChar w:fldCharType="separate"/>
      </w:r>
      <w:r>
        <w:rPr>
          <w:rStyle w:val="26"/>
          <w:rFonts w:hint="eastAsia"/>
        </w:rPr>
        <w:t>1.3.5、 签章检测</w:t>
      </w:r>
      <w:r>
        <w:tab/>
      </w:r>
      <w:r>
        <w:fldChar w:fldCharType="begin"/>
      </w:r>
      <w:r>
        <w:instrText xml:space="preserve"> PAGEREF _Toc475978925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"_Toc475978926" </w:instrText>
      </w:r>
      <w:r>
        <w:fldChar w:fldCharType="separate"/>
      </w:r>
      <w:r>
        <w:rPr>
          <w:rStyle w:val="26"/>
          <w:rFonts w:hint="eastAsia"/>
        </w:rPr>
        <w:t>1.4、 浏览器配置</w:t>
      </w:r>
      <w:r>
        <w:tab/>
      </w:r>
      <w:r>
        <w:fldChar w:fldCharType="begin"/>
      </w:r>
      <w:r>
        <w:instrText xml:space="preserve"> PAGEREF _Toc475978926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"_Toc475978927" </w:instrText>
      </w:r>
      <w:r>
        <w:fldChar w:fldCharType="separate"/>
      </w:r>
      <w:r>
        <w:rPr>
          <w:rStyle w:val="26"/>
          <w:rFonts w:hint="eastAsia"/>
        </w:rPr>
        <w:t>1.4.1、</w:t>
      </w:r>
      <w:r>
        <w:rPr>
          <w:rStyle w:val="26"/>
        </w:rPr>
        <w:t xml:space="preserve"> Internet</w:t>
      </w:r>
      <w:r>
        <w:rPr>
          <w:rStyle w:val="26"/>
          <w:rFonts w:hint="eastAsia"/>
        </w:rPr>
        <w:t>选项</w:t>
      </w:r>
      <w:r>
        <w:tab/>
      </w:r>
      <w:r>
        <w:fldChar w:fldCharType="begin"/>
      </w:r>
      <w:r>
        <w:instrText xml:space="preserve"> PAGEREF _Toc475978927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"_Toc475978928" </w:instrText>
      </w:r>
      <w:r>
        <w:fldChar w:fldCharType="separate"/>
      </w:r>
      <w:r>
        <w:rPr>
          <w:rStyle w:val="26"/>
          <w:rFonts w:hint="eastAsia"/>
        </w:rPr>
        <w:t>1.4.2、 关闭拦截工具</w:t>
      </w:r>
      <w:r>
        <w:tab/>
      </w:r>
      <w:r>
        <w:fldChar w:fldCharType="begin"/>
      </w:r>
      <w:r>
        <w:instrText xml:space="preserve"> PAGEREF _Toc475978928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19"/>
        <w:tabs>
          <w:tab w:val="right" w:leader="dot" w:pos="8296"/>
        </w:tabs>
        <w:ind w:left="420" w:hanging="420"/>
        <w:rPr>
          <w:rFonts w:asciiTheme="minorHAnsi" w:hAnsiTheme="minorHAnsi" w:eastAsiaTheme="minorEastAsia" w:cstheme="minorBidi"/>
          <w:bCs w:val="0"/>
          <w:caps w:val="0"/>
          <w:szCs w:val="22"/>
        </w:rPr>
      </w:pPr>
      <w:r>
        <w:fldChar w:fldCharType="begin"/>
      </w:r>
      <w:r>
        <w:instrText xml:space="preserve"> HYPERLINK \l "_Toc475978929" </w:instrText>
      </w:r>
      <w:r>
        <w:fldChar w:fldCharType="separate"/>
      </w:r>
      <w:r>
        <w:rPr>
          <w:rStyle w:val="26"/>
          <w:rFonts w:hint="eastAsia"/>
        </w:rPr>
        <w:t>二、 政府采购</w:t>
      </w:r>
      <w:r>
        <w:tab/>
      </w:r>
      <w:r>
        <w:fldChar w:fldCharType="begin"/>
      </w:r>
      <w:r>
        <w:instrText xml:space="preserve"> PAGEREF _Toc475978929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"_Toc475978930" </w:instrText>
      </w:r>
      <w:r>
        <w:fldChar w:fldCharType="separate"/>
      </w:r>
      <w:r>
        <w:rPr>
          <w:rStyle w:val="26"/>
          <w:rFonts w:hint="eastAsia"/>
        </w:rPr>
        <w:t>2.1、 计划注册</w:t>
      </w:r>
      <w:r>
        <w:tab/>
      </w:r>
      <w:r>
        <w:fldChar w:fldCharType="begin"/>
      </w:r>
      <w:r>
        <w:instrText xml:space="preserve"> PAGEREF _Toc475978930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"_Toc475978931" </w:instrText>
      </w:r>
      <w:r>
        <w:fldChar w:fldCharType="separate"/>
      </w:r>
      <w:r>
        <w:rPr>
          <w:rStyle w:val="26"/>
          <w:rFonts w:hint="eastAsia"/>
        </w:rPr>
        <w:t>2.1.1、 项目注册</w:t>
      </w:r>
      <w:r>
        <w:tab/>
      </w:r>
      <w:r>
        <w:fldChar w:fldCharType="begin"/>
      </w:r>
      <w:r>
        <w:instrText xml:space="preserve"> PAGEREF _Toc475978931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"_Toc475978932" </w:instrText>
      </w:r>
      <w:r>
        <w:fldChar w:fldCharType="separate"/>
      </w:r>
      <w:r>
        <w:rPr>
          <w:rStyle w:val="26"/>
          <w:rFonts w:hint="eastAsia"/>
        </w:rPr>
        <w:t>2.2、 项目管理</w:t>
      </w:r>
      <w:r>
        <w:tab/>
      </w:r>
      <w:r>
        <w:fldChar w:fldCharType="begin"/>
      </w:r>
      <w:r>
        <w:instrText xml:space="preserve"> PAGEREF _Toc475978932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"_Toc475978933" </w:instrText>
      </w:r>
      <w:r>
        <w:fldChar w:fldCharType="separate"/>
      </w:r>
      <w:r>
        <w:rPr>
          <w:rStyle w:val="26"/>
          <w:rFonts w:hint="eastAsia"/>
        </w:rPr>
        <w:t>2.2.1、 采购预告</w:t>
      </w:r>
      <w:r>
        <w:tab/>
      </w:r>
      <w:r>
        <w:fldChar w:fldCharType="begin"/>
      </w:r>
      <w:r>
        <w:instrText xml:space="preserve"> PAGEREF _Toc475978933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"_Toc475978934" </w:instrText>
      </w:r>
      <w:r>
        <w:fldChar w:fldCharType="separate"/>
      </w:r>
      <w:r>
        <w:rPr>
          <w:rStyle w:val="26"/>
          <w:rFonts w:hint="eastAsia"/>
        </w:rPr>
        <w:t>2.3、 开标前</w:t>
      </w:r>
      <w:r>
        <w:tab/>
      </w:r>
      <w:r>
        <w:fldChar w:fldCharType="begin"/>
      </w:r>
      <w:r>
        <w:instrText xml:space="preserve"> PAGEREF _Toc475978934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"_Toc475978935" </w:instrText>
      </w:r>
      <w:r>
        <w:fldChar w:fldCharType="separate"/>
      </w:r>
      <w:r>
        <w:rPr>
          <w:rStyle w:val="26"/>
          <w:rFonts w:hint="eastAsia"/>
        </w:rPr>
        <w:t>2.3.1、 交易公告</w:t>
      </w:r>
      <w:r>
        <w:tab/>
      </w:r>
      <w:r>
        <w:fldChar w:fldCharType="begin"/>
      </w:r>
      <w:r>
        <w:instrText xml:space="preserve"> PAGEREF _Toc475978935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"_Toc475978936" </w:instrText>
      </w:r>
      <w:r>
        <w:fldChar w:fldCharType="separate"/>
      </w:r>
      <w:r>
        <w:rPr>
          <w:rStyle w:val="26"/>
          <w:rFonts w:hint="eastAsia"/>
        </w:rPr>
        <w:t>2.3.2、 交易文件</w:t>
      </w:r>
      <w:r>
        <w:tab/>
      </w:r>
      <w:r>
        <w:fldChar w:fldCharType="begin"/>
      </w:r>
      <w:r>
        <w:instrText xml:space="preserve"> PAGEREF _Toc475978936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"_Toc475978937" </w:instrText>
      </w:r>
      <w:r>
        <w:fldChar w:fldCharType="separate"/>
      </w:r>
      <w:r>
        <w:rPr>
          <w:rStyle w:val="26"/>
          <w:rFonts w:hint="eastAsia"/>
        </w:rPr>
        <w:t>2.3.3、 场地预约</w:t>
      </w:r>
      <w:r>
        <w:tab/>
      </w:r>
      <w:r>
        <w:fldChar w:fldCharType="begin"/>
      </w:r>
      <w:r>
        <w:instrText xml:space="preserve"> PAGEREF _Toc475978937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"_Toc475978938" </w:instrText>
      </w:r>
      <w:r>
        <w:fldChar w:fldCharType="separate"/>
      </w:r>
      <w:r>
        <w:rPr>
          <w:rStyle w:val="26"/>
          <w:rFonts w:hint="eastAsia"/>
        </w:rPr>
        <w:t>2.3.4、 场地变更</w:t>
      </w:r>
      <w:r>
        <w:tab/>
      </w:r>
      <w:r>
        <w:fldChar w:fldCharType="begin"/>
      </w:r>
      <w:r>
        <w:instrText xml:space="preserve"> PAGEREF _Toc475978938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"_Toc475978939" </w:instrText>
      </w:r>
      <w:r>
        <w:fldChar w:fldCharType="separate"/>
      </w:r>
      <w:r>
        <w:rPr>
          <w:rStyle w:val="26"/>
          <w:rFonts w:hint="eastAsia"/>
        </w:rPr>
        <w:t>2.3.5、 答疑文件</w:t>
      </w:r>
      <w:r>
        <w:tab/>
      </w:r>
      <w:r>
        <w:fldChar w:fldCharType="begin"/>
      </w:r>
      <w:r>
        <w:instrText xml:space="preserve"> PAGEREF _Toc475978939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"_Toc475978940" </w:instrText>
      </w:r>
      <w:r>
        <w:fldChar w:fldCharType="separate"/>
      </w:r>
      <w:r>
        <w:rPr>
          <w:rStyle w:val="26"/>
          <w:rFonts w:hint="eastAsia"/>
        </w:rPr>
        <w:t>2.3.6、 变更公告</w:t>
      </w:r>
      <w:r>
        <w:tab/>
      </w:r>
      <w:r>
        <w:fldChar w:fldCharType="begin"/>
      </w:r>
      <w:r>
        <w:instrText xml:space="preserve"> PAGEREF _Toc475978940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"_Toc475978941" </w:instrText>
      </w:r>
      <w:r>
        <w:fldChar w:fldCharType="separate"/>
      </w:r>
      <w:r>
        <w:rPr>
          <w:rStyle w:val="26"/>
          <w:rFonts w:hint="eastAsia"/>
        </w:rPr>
        <w:t>2.3.7、 提问回复</w:t>
      </w:r>
      <w:r>
        <w:tab/>
      </w:r>
      <w:r>
        <w:fldChar w:fldCharType="begin"/>
      </w:r>
      <w:r>
        <w:instrText xml:space="preserve"> PAGEREF _Toc475978941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22"/>
        <w:rPr>
          <w:rFonts w:asciiTheme="minorHAnsi" w:hAnsiTheme="minorHAnsi" w:eastAsiaTheme="minorEastAsia" w:cstheme="minorBidi"/>
          <w:smallCaps w:val="0"/>
          <w:szCs w:val="22"/>
        </w:rPr>
      </w:pPr>
      <w:r>
        <w:fldChar w:fldCharType="begin"/>
      </w:r>
      <w:r>
        <w:instrText xml:space="preserve"> HYPERLINK \l "_Toc475978942" </w:instrText>
      </w:r>
      <w:r>
        <w:fldChar w:fldCharType="separate"/>
      </w:r>
      <w:r>
        <w:rPr>
          <w:rStyle w:val="26"/>
          <w:rFonts w:hint="eastAsia"/>
        </w:rPr>
        <w:t>2.4、 开标后</w:t>
      </w:r>
      <w:r>
        <w:tab/>
      </w:r>
      <w:r>
        <w:fldChar w:fldCharType="begin"/>
      </w:r>
      <w:r>
        <w:instrText xml:space="preserve"> PAGEREF _Toc475978942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"_Toc475978943" </w:instrText>
      </w:r>
      <w:r>
        <w:fldChar w:fldCharType="separate"/>
      </w:r>
      <w:r>
        <w:rPr>
          <w:rStyle w:val="26"/>
          <w:rFonts w:hint="eastAsia"/>
        </w:rPr>
        <w:t>2.4.1、 中标公示</w:t>
      </w:r>
      <w:r>
        <w:tab/>
      </w:r>
      <w:r>
        <w:fldChar w:fldCharType="begin"/>
      </w:r>
      <w:r>
        <w:instrText xml:space="preserve"> PAGEREF _Toc475978943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"_Toc475978944" </w:instrText>
      </w:r>
      <w:r>
        <w:fldChar w:fldCharType="separate"/>
      </w:r>
      <w:r>
        <w:rPr>
          <w:rStyle w:val="26"/>
          <w:rFonts w:hint="eastAsia"/>
        </w:rPr>
        <w:t>2.4.2、 中标通知书</w:t>
      </w:r>
      <w:r>
        <w:tab/>
      </w:r>
      <w:r>
        <w:fldChar w:fldCharType="begin"/>
      </w:r>
      <w:r>
        <w:instrText xml:space="preserve"> PAGEREF _Toc475978944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"_Toc475978945" </w:instrText>
      </w:r>
      <w:r>
        <w:fldChar w:fldCharType="separate"/>
      </w:r>
      <w:r>
        <w:rPr>
          <w:rStyle w:val="26"/>
          <w:rFonts w:hint="eastAsia"/>
        </w:rPr>
        <w:t>2.4.3、 合同备案</w:t>
      </w:r>
      <w:r>
        <w:tab/>
      </w:r>
      <w:r>
        <w:fldChar w:fldCharType="begin"/>
      </w:r>
      <w:r>
        <w:instrText xml:space="preserve"> PAGEREF _Toc475978945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"_Toc475978946" </w:instrText>
      </w:r>
      <w:r>
        <w:fldChar w:fldCharType="separate"/>
      </w:r>
      <w:r>
        <w:rPr>
          <w:rStyle w:val="26"/>
          <w:rFonts w:hint="eastAsia"/>
        </w:rPr>
        <w:t>2.4.4、 采购异常</w:t>
      </w:r>
      <w:r>
        <w:tab/>
      </w:r>
      <w:r>
        <w:fldChar w:fldCharType="begin"/>
      </w:r>
      <w:r>
        <w:instrText xml:space="preserve"> PAGEREF _Toc475978946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14"/>
        <w:tabs>
          <w:tab w:val="right" w:leader="dot" w:pos="8296"/>
        </w:tabs>
        <w:rPr>
          <w:rFonts w:asciiTheme="minorHAnsi" w:hAnsiTheme="minorHAnsi" w:eastAsiaTheme="minorEastAsia" w:cstheme="minorBidi"/>
          <w:iCs w:val="0"/>
          <w:szCs w:val="22"/>
        </w:rPr>
      </w:pPr>
      <w:r>
        <w:fldChar w:fldCharType="begin"/>
      </w:r>
      <w:r>
        <w:instrText xml:space="preserve"> HYPERLINK \l "_Toc475978947" </w:instrText>
      </w:r>
      <w:r>
        <w:fldChar w:fldCharType="separate"/>
      </w:r>
      <w:r>
        <w:rPr>
          <w:rStyle w:val="26"/>
          <w:rFonts w:hint="eastAsia"/>
        </w:rPr>
        <w:t>2.4.5、 标后数据下载</w:t>
      </w:r>
      <w:r>
        <w:tab/>
      </w:r>
      <w:r>
        <w:fldChar w:fldCharType="begin"/>
      </w:r>
      <w:r>
        <w:instrText xml:space="preserve"> PAGEREF _Toc475978947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>
      <w:r>
        <w:rPr>
          <w:rFonts w:cs="Calibri"/>
          <w:szCs w:val="20"/>
        </w:rPr>
        <w:fldChar w:fldCharType="end"/>
      </w:r>
      <w:r>
        <w:br w:type="page"/>
      </w:r>
    </w:p>
    <w:p>
      <w:pPr>
        <w:pStyle w:val="48"/>
        <w:ind w:firstLine="0" w:firstLineChars="0"/>
        <w:rPr>
          <w:b/>
        </w:rPr>
      </w:pPr>
      <w:r>
        <w:rPr>
          <w:rFonts w:hint="eastAsia"/>
          <w:b/>
        </w:rPr>
        <w:t>修订记录</w:t>
      </w:r>
    </w:p>
    <w:tbl>
      <w:tblPr>
        <w:tblStyle w:val="28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843"/>
        <w:gridCol w:w="992"/>
        <w:gridCol w:w="2893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8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  <w:jc w:val="center"/>
            </w:pPr>
            <w:r>
              <w:rPr>
                <w:rFonts w:hint="eastAsia"/>
              </w:rPr>
              <w:t>7.0.1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2017-2-27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郭豪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50"/>
            </w:pPr>
            <w:r>
              <w:rPr>
                <w:rFonts w:hint="eastAsia"/>
              </w:rPr>
              <w:t>在6.0.3版本上根据7.0版本更新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420"/>
            </w:pPr>
            <w:r>
              <w:rPr>
                <w:rFonts w:hint="eastAsia"/>
              </w:rPr>
              <w:t>　</w:t>
            </w: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bookmarkStart w:id="0" w:name="_Toc346701609"/>
      <w:bookmarkStart w:id="1" w:name="_Toc346183627"/>
      <w:bookmarkStart w:id="2" w:name="_Toc475978914"/>
      <w:r>
        <w:t>系统前期准备</w:t>
      </w:r>
      <w:bookmarkEnd w:id="0"/>
      <w:bookmarkEnd w:id="1"/>
      <w:bookmarkEnd w:id="2"/>
    </w:p>
    <w:p>
      <w:pPr>
        <w:pStyle w:val="3"/>
      </w:pPr>
      <w:bookmarkStart w:id="3" w:name="_Toc346701610"/>
      <w:bookmarkStart w:id="4" w:name="_Toc346183628"/>
      <w:bookmarkStart w:id="5" w:name="_Toc475978915"/>
      <w:r>
        <w:t>驱动安装说明</w:t>
      </w:r>
      <w:bookmarkEnd w:id="3"/>
      <w:bookmarkEnd w:id="4"/>
      <w:bookmarkEnd w:id="5"/>
    </w:p>
    <w:p>
      <w:pPr>
        <w:pStyle w:val="4"/>
      </w:pPr>
      <w:bookmarkStart w:id="6" w:name="_Toc475978916"/>
      <w:bookmarkStart w:id="7" w:name="_Toc346183629"/>
      <w:bookmarkStart w:id="8" w:name="_Toc346701611"/>
      <w:r>
        <w:t>安装驱动程序</w:t>
      </w:r>
      <w:bookmarkEnd w:id="6"/>
      <w:bookmarkEnd w:id="7"/>
      <w:bookmarkEnd w:id="8"/>
    </w:p>
    <w:p>
      <w:pPr>
        <w:spacing w:line="360" w:lineRule="auto"/>
        <w:ind w:firstLine="420" w:firstLineChars="200"/>
        <w:jc w:val="left"/>
      </w:pPr>
      <w:r>
        <w:t>1、双击安装程序</w:t>
      </w:r>
      <w:r>
        <w:drawing>
          <wp:inline distT="0" distB="0" distL="0" distR="0">
            <wp:extent cx="485775" cy="504825"/>
            <wp:effectExtent l="19050" t="0" r="9525" b="0"/>
            <wp:docPr id="12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" name="图片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>
      <w:pPr>
        <w:autoSpaceDE w:val="0"/>
        <w:autoSpaceDN w:val="0"/>
        <w:adjustRightInd w:val="0"/>
        <w:spacing w:line="360" w:lineRule="auto"/>
        <w:ind w:right="-20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95675" cy="2724150"/>
            <wp:effectExtent l="19050" t="0" r="9525" b="0"/>
            <wp:docPr id="12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图片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2、点击下一步，进入协议页面。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457575" cy="2667000"/>
            <wp:effectExtent l="19050" t="0" r="9525" b="0"/>
            <wp:docPr id="12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3、选择同意后，点下一步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09925" cy="2381250"/>
            <wp:effectExtent l="19050" t="0" r="9525" b="0"/>
            <wp:docPr id="129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" name="图片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4、输入用户信息后，点击下一步。</w:t>
      </w:r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  <w:sz w:val="21"/>
          <w:szCs w:val="21"/>
        </w:rPr>
        <w:drawing>
          <wp:inline distT="0" distB="0" distL="0" distR="0">
            <wp:extent cx="3105150" cy="2409825"/>
            <wp:effectExtent l="19050" t="0" r="0" b="0"/>
            <wp:docPr id="12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5、选择需要安装的目录，之后继续点击下一步。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267075" cy="2543175"/>
            <wp:effectExtent l="19050" t="0" r="9525" b="0"/>
            <wp:docPr id="129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" name="图片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6、设置快捷方式文件夹，之后继续点击下一步。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009900" cy="2314575"/>
            <wp:effectExtent l="19050" t="0" r="0" b="0"/>
            <wp:docPr id="129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图片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7、确认无误后，继续点击下一步。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62275" cy="2362200"/>
            <wp:effectExtent l="19050" t="0" r="9525" b="0"/>
            <wp:docPr id="129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8、点击下一步，系统自动读取安装参数。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3057525" cy="2447925"/>
            <wp:effectExtent l="19050" t="0" r="9525" b="0"/>
            <wp:docPr id="12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" name="图片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9、继续点击下一步，进行安装驱动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838450" cy="2276475"/>
            <wp:effectExtent l="19050" t="0" r="0" b="0"/>
            <wp:docPr id="130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" name="图片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10</w:t>
      </w:r>
      <w:r>
        <w:t>、点击完成，系统自动执行命令。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5276850" cy="685800"/>
            <wp:effectExtent l="19050" t="0" r="0" b="0"/>
            <wp:docPr id="130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" name="图片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b="4456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1</w:t>
      </w:r>
      <w:r>
        <w:t>、运行完毕后，驱动安装成功。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2943225" cy="2276475"/>
            <wp:effectExtent l="19050" t="0" r="9525" b="0"/>
            <wp:docPr id="130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9" w:name="_Toc475978917"/>
      <w:bookmarkStart w:id="10" w:name="_Toc346183630"/>
      <w:bookmarkStart w:id="11" w:name="_Toc346701612"/>
      <w:r>
        <w:t>安装IC卡读卡驱动</w:t>
      </w:r>
      <w:bookmarkEnd w:id="9"/>
      <w:bookmarkEnd w:id="10"/>
      <w:bookmarkEnd w:id="11"/>
    </w:p>
    <w:p>
      <w:pPr>
        <w:spacing w:line="360" w:lineRule="auto"/>
        <w:ind w:firstLine="420" w:firstLineChars="200"/>
        <w:jc w:val="left"/>
      </w:pPr>
      <w:r>
        <w:t>如果您需要安装IC卡读卡器，请在程序中找到新点驱动程序（标准版）IC卡读卡驱动安装程序。</w:t>
      </w:r>
      <w:r>
        <w:drawing>
          <wp:inline distT="0" distB="0" distL="0" distR="0">
            <wp:extent cx="1428750" cy="190500"/>
            <wp:effectExtent l="19050" t="0" r="0" b="0"/>
            <wp:docPr id="130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" name="图片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36" w:firstLineChars="200"/>
        <w:rPr>
          <w:spacing w:val="4"/>
        </w:rPr>
      </w:pPr>
    </w:p>
    <w:p>
      <w:pPr>
        <w:pStyle w:val="3"/>
      </w:pPr>
      <w:bookmarkStart w:id="12" w:name="_Toc346183631"/>
      <w:bookmarkStart w:id="13" w:name="_Toc475978918"/>
      <w:bookmarkStart w:id="14" w:name="_Toc346701613"/>
      <w:r>
        <w:t>证书工具</w:t>
      </w:r>
      <w:bookmarkEnd w:id="12"/>
      <w:bookmarkEnd w:id="13"/>
      <w:bookmarkEnd w:id="14"/>
    </w:p>
    <w:p>
      <w:pPr>
        <w:pStyle w:val="4"/>
        <w:ind w:left="1072" w:hanging="1072"/>
      </w:pPr>
      <w:bookmarkStart w:id="15" w:name="_Toc346183632"/>
      <w:bookmarkStart w:id="16" w:name="_Toc475978919"/>
      <w:bookmarkStart w:id="17" w:name="_Toc346701614"/>
      <w:r>
        <w:t>修改口令</w:t>
      </w:r>
      <w:bookmarkEnd w:id="15"/>
      <w:bookmarkEnd w:id="16"/>
      <w:bookmarkEnd w:id="17"/>
    </w:p>
    <w:p>
      <w:pPr>
        <w:spacing w:line="360" w:lineRule="auto"/>
        <w:ind w:firstLine="420" w:firstLineChars="200"/>
        <w:jc w:val="left"/>
      </w:pPr>
      <w:r>
        <w:t>用户可以点击桌面上面证书管理工具，进入证书管理界面。</w:t>
      </w:r>
    </w:p>
    <w:p>
      <w:pPr>
        <w:spacing w:line="360" w:lineRule="auto"/>
        <w:ind w:firstLine="420" w:firstLineChars="200"/>
        <w:jc w:val="left"/>
      </w:pPr>
      <w:r>
        <w:t>口令相当于证书Key的密码，需要妥善保管，新发出的证书Key的密码是111111（6个1），为了您的证书的安全，请立即修改密码。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800475" cy="3257550"/>
            <wp:effectExtent l="19050" t="0" r="9525" b="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3"/>
      </w:pPr>
      <w:bookmarkStart w:id="18" w:name="_Toc346701615"/>
      <w:bookmarkStart w:id="19" w:name="_Toc346183633"/>
      <w:bookmarkStart w:id="20" w:name="_Toc475978920"/>
      <w:r>
        <w:t>检测工具</w:t>
      </w:r>
      <w:bookmarkEnd w:id="18"/>
      <w:bookmarkEnd w:id="19"/>
      <w:bookmarkEnd w:id="20"/>
    </w:p>
    <w:p>
      <w:pPr>
        <w:pStyle w:val="4"/>
        <w:ind w:left="1072" w:hanging="1072"/>
      </w:pPr>
      <w:bookmarkStart w:id="21" w:name="_Toc346701616"/>
      <w:bookmarkStart w:id="22" w:name="_Toc346183634"/>
      <w:bookmarkStart w:id="23" w:name="_Toc475978921"/>
      <w:r>
        <w:t>启动检测工具</w:t>
      </w:r>
      <w:bookmarkEnd w:id="21"/>
      <w:bookmarkEnd w:id="22"/>
      <w:bookmarkEnd w:id="23"/>
    </w:p>
    <w:p>
      <w:pPr>
        <w:spacing w:line="360" w:lineRule="auto"/>
        <w:ind w:firstLine="420" w:firstLineChars="200"/>
        <w:jc w:val="left"/>
      </w:pPr>
      <w:r>
        <w:t>用户可以点击桌面上的新点检测工具图标来启动检测工具。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790575" cy="933450"/>
            <wp:effectExtent l="19050" t="0" r="9525" b="0"/>
            <wp:docPr id="130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" name="图片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rPr>
          <w:b/>
          <w:spacing w:val="4"/>
        </w:rPr>
      </w:pPr>
    </w:p>
    <w:p>
      <w:pPr>
        <w:pStyle w:val="4"/>
        <w:ind w:left="1072" w:hanging="1072"/>
      </w:pPr>
      <w:bookmarkStart w:id="24" w:name="_Toc475978922"/>
      <w:bookmarkStart w:id="25" w:name="_Toc346701617"/>
      <w:bookmarkStart w:id="26" w:name="_Toc346183635"/>
      <w:r>
        <w:t>系统检测</w:t>
      </w:r>
      <w:bookmarkEnd w:id="24"/>
      <w:bookmarkEnd w:id="25"/>
      <w:bookmarkEnd w:id="26"/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76850" cy="5410200"/>
            <wp:effectExtent l="19050" t="0" r="0" b="0"/>
            <wp:docPr id="130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" name="图片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该页面主要是进行可信任站点的设置。</w:t>
      </w:r>
    </w:p>
    <w:p>
      <w:pPr>
        <w:spacing w:line="360" w:lineRule="auto"/>
        <w:ind w:firstLine="420" w:firstLineChars="200"/>
        <w:jc w:val="left"/>
      </w:pPr>
      <w:r>
        <w:t>如果显示都是“已加入”，就证明已经设置成功。</w:t>
      </w:r>
    </w:p>
    <w:p>
      <w:pPr>
        <w:pStyle w:val="45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drawing>
          <wp:inline distT="0" distB="0" distL="0" distR="0">
            <wp:extent cx="5257800" cy="1219200"/>
            <wp:effectExtent l="19050" t="0" r="0" b="0"/>
            <wp:docPr id="130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" name="图片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b="3367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如果没有设置成功，请点击加入可信站点按钮</w:t>
      </w:r>
      <w:r>
        <w:drawing>
          <wp:inline distT="0" distB="0" distL="0" distR="0">
            <wp:extent cx="1333500" cy="476250"/>
            <wp:effectExtent l="19050" t="0" r="0" b="0"/>
            <wp:docPr id="130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图片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即可。</w:t>
      </w:r>
    </w:p>
    <w:p>
      <w:pPr>
        <w:spacing w:line="360" w:lineRule="auto"/>
        <w:ind w:firstLine="420"/>
        <w:rPr>
          <w:spacing w:val="4"/>
        </w:rPr>
      </w:pPr>
    </w:p>
    <w:p>
      <w:pPr>
        <w:pStyle w:val="4"/>
        <w:ind w:left="1072" w:hanging="1072"/>
      </w:pPr>
      <w:bookmarkStart w:id="27" w:name="_Toc346701618"/>
      <w:bookmarkStart w:id="28" w:name="_Toc475978923"/>
      <w:bookmarkStart w:id="29" w:name="_Toc346183636"/>
      <w:r>
        <w:t>控件检测</w:t>
      </w:r>
      <w:bookmarkEnd w:id="27"/>
      <w:bookmarkEnd w:id="28"/>
      <w:bookmarkEnd w:id="29"/>
    </w:p>
    <w:p>
      <w:pPr>
        <w:spacing w:line="360" w:lineRule="auto"/>
        <w:jc w:val="center"/>
      </w:pPr>
      <w:r>
        <w:drawing>
          <wp:inline distT="0" distB="0" distL="0" distR="0">
            <wp:extent cx="5276850" cy="4686300"/>
            <wp:effectExtent l="19050" t="0" r="0" b="0"/>
            <wp:docPr id="130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图片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如果以上都是打勾，系统所需要控件都安装完毕了。</w:t>
      </w:r>
    </w:p>
    <w:p>
      <w:pPr>
        <w:spacing w:line="360" w:lineRule="auto"/>
        <w:ind w:firstLine="420" w:firstLineChars="200"/>
        <w:jc w:val="left"/>
      </w:pPr>
      <w:r>
        <w:t>其中证书Key驱动，需要把您的证书Key插好以后才可以检测出来。</w:t>
      </w:r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5276850" cy="2771775"/>
            <wp:effectExtent l="19050" t="0" r="0" b="0"/>
            <wp:docPr id="13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图片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30" w:name="_Toc346183637"/>
      <w:bookmarkStart w:id="31" w:name="_Toc475978924"/>
      <w:bookmarkStart w:id="32" w:name="_Toc346701619"/>
      <w:r>
        <w:t>证书检测</w:t>
      </w:r>
      <w:bookmarkEnd w:id="30"/>
      <w:bookmarkEnd w:id="31"/>
      <w:bookmarkEnd w:id="32"/>
    </w:p>
    <w:p>
      <w:pPr>
        <w:pStyle w:val="45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drawing>
          <wp:inline distT="0" distB="0" distL="0" distR="0">
            <wp:extent cx="3314700" cy="2990850"/>
            <wp:effectExtent l="19050" t="0" r="0" b="0"/>
            <wp:docPr id="131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" name="图片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用户可以点击“立即检测”，选择证书，输入Pin码，可以检测该证书Key是否可以正常使用。</w:t>
      </w:r>
    </w:p>
    <w:p>
      <w:pPr>
        <w:spacing w:line="360" w:lineRule="auto"/>
        <w:ind w:firstLine="420" w:firstLineChars="200"/>
        <w:jc w:val="left"/>
      </w:pPr>
      <w:r>
        <w:t>如果出现以下提示，则表示您的证书Key是可以正常使用的，如下图：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3514725" cy="1657350"/>
            <wp:effectExtent l="19050" t="0" r="9525" b="0"/>
            <wp:docPr id="131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" name="图片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如果出现以下提示，则出错的原因可能是您的证书Key驱动没有装好或者是证书Key是无法使用的，需重新安装证书Key驱动，或者马上联系该项目CA进行更换。如下图：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429000" cy="1562100"/>
            <wp:effectExtent l="19050" t="0" r="0" b="0"/>
            <wp:docPr id="131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图片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left="1072" w:hanging="1072"/>
      </w:pPr>
      <w:bookmarkStart w:id="33" w:name="_Toc346701620"/>
      <w:bookmarkStart w:id="34" w:name="_Toc346183638"/>
      <w:bookmarkStart w:id="35" w:name="_Toc475978925"/>
      <w:r>
        <w:t>签章检测</w:t>
      </w:r>
      <w:bookmarkEnd w:id="33"/>
      <w:bookmarkEnd w:id="34"/>
      <w:bookmarkEnd w:id="35"/>
    </w:p>
    <w:p>
      <w:pPr>
        <w:spacing w:line="360" w:lineRule="auto"/>
        <w:jc w:val="center"/>
      </w:pPr>
      <w:r>
        <w:drawing>
          <wp:inline distT="0" distB="0" distL="0" distR="0">
            <wp:extent cx="5276850" cy="2771775"/>
            <wp:effectExtent l="19050" t="0" r="0" b="0"/>
            <wp:docPr id="131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图片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此页面是用于测试证书Key是否可以正常盖章，请点击</w:t>
      </w:r>
      <w:r>
        <w:drawing>
          <wp:inline distT="0" distB="0" distL="0" distR="0">
            <wp:extent cx="285750" cy="295275"/>
            <wp:effectExtent l="19050" t="0" r="0" b="0"/>
            <wp:docPr id="131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" name="图片 2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，在出现的窗口中，选择签章的名称和签章的模式，并输入您的证书Key的密码，点击确定按钮。</w:t>
      </w:r>
    </w:p>
    <w:p>
      <w:pPr>
        <w:pStyle w:val="4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343150" cy="2838450"/>
            <wp:effectExtent l="19050" t="0" r="0" b="0"/>
            <wp:docPr id="131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" name="图片 2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如果能成功加盖印章，并且有勾显示，则证明您的证书Key没有问题。</w:t>
      </w:r>
    </w:p>
    <w:p>
      <w:pPr>
        <w:pStyle w:val="45"/>
        <w:ind w:firstLine="153" w:firstLineChars="62"/>
        <w:jc w:val="center"/>
        <w:rPr>
          <w:spacing w:val="4"/>
          <w:sz w:val="21"/>
        </w:rPr>
      </w:pPr>
      <w:r>
        <w:rPr>
          <w:spacing w:val="4"/>
        </w:rPr>
        <w:drawing>
          <wp:inline distT="0" distB="0" distL="0" distR="0">
            <wp:extent cx="2819400" cy="1143000"/>
            <wp:effectExtent l="1905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如果出现其他的提示，请及时和该项目CA联系。</w:t>
      </w:r>
    </w:p>
    <w:p>
      <w:pPr>
        <w:pStyle w:val="3"/>
      </w:pPr>
      <w:bookmarkStart w:id="36" w:name="_Toc346701621"/>
      <w:bookmarkStart w:id="37" w:name="_Toc346183639"/>
      <w:bookmarkStart w:id="38" w:name="_Toc475978926"/>
      <w:r>
        <w:t>浏览器配置</w:t>
      </w:r>
      <w:bookmarkEnd w:id="36"/>
      <w:bookmarkEnd w:id="37"/>
      <w:bookmarkEnd w:id="38"/>
    </w:p>
    <w:p>
      <w:pPr>
        <w:pStyle w:val="4"/>
        <w:ind w:left="1072" w:hanging="1072"/>
      </w:pPr>
      <w:bookmarkStart w:id="39" w:name="_Toc346701622"/>
      <w:bookmarkStart w:id="40" w:name="_Toc475978927"/>
      <w:bookmarkStart w:id="41" w:name="_Toc346183640"/>
      <w:r>
        <w:t>Internet选项</w:t>
      </w:r>
      <w:bookmarkEnd w:id="39"/>
      <w:bookmarkEnd w:id="40"/>
      <w:bookmarkEnd w:id="41"/>
    </w:p>
    <w:p>
      <w:pPr>
        <w:spacing w:line="360" w:lineRule="auto"/>
        <w:ind w:firstLine="420" w:firstLineChars="200"/>
        <w:jc w:val="left"/>
      </w:pPr>
      <w:r>
        <w:t>为了让系统插件能够正常工作，请按照以下步骤进行浏览器的配置。</w:t>
      </w:r>
    </w:p>
    <w:p>
      <w:pPr>
        <w:spacing w:line="360" w:lineRule="auto"/>
        <w:ind w:firstLine="420" w:firstLineChars="200"/>
        <w:jc w:val="left"/>
      </w:pPr>
      <w:r>
        <w:t>1、打开浏览器，在“工具”菜单→“Internet选项”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2、弹出对话框之后，请选择“安全”选项卡，具体的界面如下图：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3、点击绿色的“受信任的站点”的图片，会看到如下图所示的界面：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4、点击“站点” 按钮，出现如下对话框：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输入系统服务器的IP地址，格式例如：192.168.0.123，然后点击“添加”按钮完成添加，再按“关闭”按钮退出。</w:t>
      </w:r>
    </w:p>
    <w:p>
      <w:pPr>
        <w:spacing w:line="360" w:lineRule="auto"/>
        <w:ind w:firstLine="420" w:firstLineChars="200"/>
        <w:jc w:val="left"/>
      </w:pPr>
      <w:r>
        <w:t>5、设置自定义安全级别，开放Activex的访问权限：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会出现一个窗口，把其中的Activex控件和插件的设置全部改为启用。</w:t>
      </w:r>
    </w:p>
    <w:p>
      <w:pPr>
        <w:spacing w:line="360" w:lineRule="auto"/>
        <w:jc w:val="center"/>
        <w:rPr>
          <w:spacing w:val="4"/>
        </w:rPr>
      </w:pPr>
      <w:r>
        <w:rPr>
          <w:spacing w:val="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990600</wp:posOffset>
                </wp:positionV>
                <wp:extent cx="1988820" cy="312420"/>
                <wp:effectExtent l="168275" t="9525" r="14605" b="20955"/>
                <wp:wrapNone/>
                <wp:docPr id="3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820" cy="312420"/>
                        </a:xfrm>
                        <a:prstGeom prst="wedgeRoundRectCallout">
                          <a:avLst>
                            <a:gd name="adj1" fmla="val -56704"/>
                            <a:gd name="adj2" fmla="val -91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选择启用（共5个ActiveX）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2" type="#_x0000_t62" style="position:absolute;left:0pt;margin-left:162pt;margin-top:78pt;height:24.6pt;width:156.6pt;z-index:251664384;mso-width-relative:page;mso-height-relative:page;" fillcolor="#FFFFFF" filled="t" stroked="t" coordsize="21600,21600" o:gfxdata="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3OxDXWAAAACwEAAA8AAAAAAAAAAQAgAAAAIgAAAGRycy9kb3ducmV2LnhtbFBLAQIU&#10;ABQAAAAIAIdO4kDjs9FSLgIAAGoEAAAOAAAAAAAAAAEAIAAAACUBAABkcnMvZTJvRG9jLnhtbFBL&#10;BQYAAAAABgAGAFkBAADFBQAAAAA=&#10;" adj="-1448,8824,14400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选择启用（共5个ActiveX）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文件下载设置，开放文件下载的权限：设置为启用。</w:t>
      </w:r>
    </w:p>
    <w:p>
      <w:pPr>
        <w:spacing w:line="360" w:lineRule="auto"/>
        <w:jc w:val="center"/>
        <w:rPr>
          <w:szCs w:val="21"/>
        </w:rPr>
      </w:pPr>
      <w:r>
        <w:rPr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Cs w:val="21"/>
        </w:rPr>
      </w:pPr>
    </w:p>
    <w:p>
      <w:pPr>
        <w:pStyle w:val="4"/>
        <w:ind w:left="1072" w:hanging="1072"/>
      </w:pPr>
      <w:bookmarkStart w:id="42" w:name="_Toc346701623"/>
      <w:bookmarkStart w:id="43" w:name="_Toc346183641"/>
      <w:bookmarkStart w:id="44" w:name="_Toc475978928"/>
      <w:r>
        <w:t>关闭拦截工具</w:t>
      </w:r>
      <w:bookmarkEnd w:id="42"/>
      <w:bookmarkEnd w:id="43"/>
      <w:bookmarkEnd w:id="44"/>
    </w:p>
    <w:p>
      <w:pPr>
        <w:spacing w:line="360" w:lineRule="auto"/>
        <w:ind w:firstLine="420" w:firstLineChars="200"/>
        <w:jc w:val="left"/>
      </w:pPr>
      <w:r>
        <w:t>上述操作完成后，如果系统中某些功能仍不能使用，请将拦截工具关闭再试用。比如在windows工具栏中关闭弹出窗口阻止程序的操作：</w:t>
      </w:r>
    </w:p>
    <w:p>
      <w:pPr>
        <w:pStyle w:val="45"/>
        <w:ind w:firstLine="0" w:firstLineChars="0"/>
        <w:jc w:val="center"/>
      </w:pPr>
      <w: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5"/>
        <w:ind w:firstLine="0" w:firstLineChars="0"/>
        <w:jc w:val="center"/>
      </w:pPr>
    </w:p>
    <w:p>
      <w:pPr>
        <w:pStyle w:val="2"/>
      </w:pPr>
      <w:bookmarkStart w:id="45" w:name="_Toc20822"/>
      <w:bookmarkStart w:id="46" w:name="_Toc346701624"/>
      <w:bookmarkStart w:id="47" w:name="_Toc475978929"/>
      <w:r>
        <w:t>政府采购</w:t>
      </w:r>
      <w:bookmarkEnd w:id="45"/>
      <w:bookmarkEnd w:id="46"/>
      <w:bookmarkEnd w:id="47"/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1、登录交易平台会员端，如下图：</w:t>
      </w:r>
    </w:p>
    <w:p>
      <w:r>
        <w:drawing>
          <wp:inline distT="0" distB="0" distL="114300" distR="114300">
            <wp:extent cx="5263515" cy="2081530"/>
            <wp:effectExtent l="0" t="0" r="13335" b="1397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、填写登录名和密码登录交易平台，如下图：</w:t>
      </w:r>
    </w:p>
    <w:p>
      <w:r>
        <w:drawing>
          <wp:inline distT="0" distB="0" distL="114300" distR="114300">
            <wp:extent cx="5271135" cy="1835150"/>
            <wp:effectExtent l="0" t="0" r="5715" b="1270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</w:pPr>
      <w:bookmarkStart w:id="48" w:name="_Toc475978930"/>
      <w:bookmarkStart w:id="49" w:name="_Toc7115"/>
      <w:bookmarkStart w:id="50" w:name="_Toc346701625"/>
      <w:r>
        <w:t>计划注册</w:t>
      </w:r>
      <w:bookmarkEnd w:id="48"/>
      <w:bookmarkEnd w:id="49"/>
      <w:bookmarkEnd w:id="50"/>
    </w:p>
    <w:p>
      <w:pPr>
        <w:pStyle w:val="4"/>
      </w:pPr>
      <w:bookmarkStart w:id="51" w:name="_Toc1872"/>
      <w:bookmarkStart w:id="52" w:name="_Toc346701629"/>
      <w:bookmarkStart w:id="53" w:name="_Toc475978931"/>
      <w:r>
        <w:t>项目</w:t>
      </w:r>
      <w:bookmarkEnd w:id="51"/>
      <w:bookmarkEnd w:id="52"/>
      <w:r>
        <w:rPr>
          <w:rFonts w:hint="eastAsia"/>
        </w:rPr>
        <w:t>注册</w:t>
      </w:r>
      <w:bookmarkEnd w:id="53"/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注册新项目。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进入菜单“计划注册—项目</w:t>
      </w:r>
      <w:r>
        <w:rPr>
          <w:rFonts w:hint="eastAsia"/>
        </w:rPr>
        <w:t>注册</w:t>
      </w:r>
      <w:r>
        <w:t>”，</w:t>
      </w:r>
      <w:r>
        <w:rPr>
          <w:rFonts w:hint="eastAsia"/>
        </w:rPr>
        <w:t>采购代理对采购项目进行管理</w:t>
      </w:r>
      <w:r>
        <w:t>，如下图：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1819275"/>
            <wp:effectExtent l="0" t="0" r="2540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left="851" w:hanging="429" w:firstLineChars="0"/>
        <w:jc w:val="left"/>
        <w:rPr>
          <w:b/>
        </w:rPr>
      </w:pPr>
      <w:r>
        <w:rPr>
          <w:b/>
        </w:rPr>
        <w:t>新建项目：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“新增项目注册”</w:t>
      </w:r>
      <w:r>
        <w:t>，进入</w:t>
      </w:r>
      <w:r>
        <w:rPr>
          <w:rFonts w:hint="eastAsia"/>
        </w:rPr>
        <w:t>项目注册</w:t>
      </w:r>
      <w:r>
        <w:t>页面</w:t>
      </w:r>
      <w:r>
        <w:rPr>
          <w:rFonts w:hint="eastAsia"/>
        </w:rPr>
        <w:t>，输入项目信息内容，如下图：</w:t>
      </w:r>
    </w:p>
    <w:p>
      <w:pPr>
        <w:spacing w:line="360" w:lineRule="auto"/>
        <w:rPr>
          <w:rFonts w:hAnsi="宋体"/>
          <w:color w:val="FF0000"/>
          <w:spacing w:val="4"/>
        </w:rPr>
      </w:pPr>
      <w:r>
        <w:drawing>
          <wp:inline distT="0" distB="0" distL="114300" distR="114300">
            <wp:extent cx="5271135" cy="2181860"/>
            <wp:effectExtent l="0" t="0" r="5715" b="889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2、填写内容中字段“采购单位”后面点击选择，可选择采购单位。</w:t>
      </w:r>
    </w:p>
    <w:p>
      <w:pPr>
        <w:spacing w:line="360" w:lineRule="auto"/>
        <w:rPr>
          <w:color w:val="FF0000"/>
        </w:rPr>
      </w:pPr>
      <w:r>
        <w:drawing>
          <wp:inline distT="0" distB="0" distL="114300" distR="114300">
            <wp:extent cx="5266690" cy="2872105"/>
            <wp:effectExtent l="0" t="0" r="10160" b="44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3、点击采购方式下拉框选择采购方式：</w:t>
      </w:r>
    </w:p>
    <w:p>
      <w:pPr>
        <w:spacing w:line="360" w:lineRule="auto"/>
        <w:rPr>
          <w:color w:val="FF0000"/>
        </w:rPr>
      </w:pPr>
      <w:r>
        <w:drawing>
          <wp:inline distT="0" distB="0" distL="0" distR="0">
            <wp:extent cx="5274310" cy="24110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</w:t>
      </w:r>
      <w:r>
        <w:t>、</w:t>
      </w:r>
      <w:r>
        <w:rPr>
          <w:rFonts w:hint="eastAsia"/>
        </w:rPr>
        <w:t>点击“添加分包”，输入分包信息：</w:t>
      </w:r>
    </w:p>
    <w:p>
      <w:pPr>
        <w:spacing w:line="360" w:lineRule="auto"/>
        <w:rPr>
          <w:spacing w:val="4"/>
        </w:rPr>
      </w:pPr>
      <w:r>
        <w:drawing>
          <wp:inline distT="0" distB="0" distL="114300" distR="114300">
            <wp:extent cx="5269230" cy="1833245"/>
            <wp:effectExtent l="0" t="0" r="7620" b="14605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输入分包名称等信息，点击“保存分包”完成添加。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</w:t>
      </w:r>
      <w:r>
        <w:t>、确认无误后，点击</w:t>
      </w:r>
      <w:r>
        <w:rPr>
          <w:rFonts w:hint="eastAsia"/>
        </w:rPr>
        <w:t>“下一步”按钮</w:t>
      </w:r>
      <w:r>
        <w:t>，提交</w:t>
      </w:r>
      <w:r>
        <w:rPr>
          <w:rFonts w:hint="eastAsia"/>
        </w:rPr>
        <w:t>下一步</w:t>
      </w:r>
      <w:r>
        <w:t>审核</w:t>
      </w:r>
      <w:r>
        <w:rPr>
          <w:rFonts w:hint="eastAsia"/>
        </w:rPr>
        <w:t>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2245" cy="2160270"/>
            <wp:effectExtent l="0" t="0" r="1460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6</w:t>
      </w:r>
      <w:r>
        <w:t>、</w:t>
      </w:r>
      <w:r>
        <w:rPr>
          <w:rFonts w:hint="eastAsia"/>
        </w:rPr>
        <w:t>点击“提交备案”按钮，提交中心审核，如图：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6055" cy="2105025"/>
            <wp:effectExtent l="0" t="0" r="10795" b="9525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7、提交审核成功后，如图所示：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4785" cy="1744345"/>
            <wp:effectExtent l="0" t="0" r="12065" b="8255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4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①项目注册提交审核后，可以在“审核状态”列中查看其状态。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②只有处于“编辑中”、“审核未通过”状态的项目注册才可以删除。</w:t>
      </w:r>
    </w:p>
    <w:p>
      <w:pPr>
        <w:spacing w:line="360" w:lineRule="auto"/>
      </w:pPr>
    </w:p>
    <w:p>
      <w:pPr>
        <w:pStyle w:val="3"/>
      </w:pPr>
      <w:bookmarkStart w:id="54" w:name="_Toc475978932"/>
      <w:r>
        <w:rPr>
          <w:rFonts w:hint="eastAsia"/>
        </w:rPr>
        <w:t>项目管理</w:t>
      </w:r>
      <w:bookmarkEnd w:id="54"/>
    </w:p>
    <w:p>
      <w:pPr>
        <w:pStyle w:val="4"/>
      </w:pPr>
      <w:bookmarkStart w:id="55" w:name="_Toc475978933"/>
      <w:r>
        <w:rPr>
          <w:rFonts w:hint="eastAsia"/>
        </w:rPr>
        <w:t>采购预告</w:t>
      </w:r>
      <w:bookmarkEnd w:id="55"/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>
      <w:pPr>
        <w:spacing w:line="360" w:lineRule="auto"/>
        <w:ind w:firstLine="422" w:firstLineChars="200"/>
        <w:jc w:val="left"/>
      </w:pPr>
      <w:r>
        <w:rPr>
          <w:rFonts w:hint="eastAsia"/>
          <w:b/>
        </w:rPr>
        <w:t>流程功能：</w:t>
      </w:r>
      <w:r>
        <w:rPr>
          <w:rFonts w:hint="eastAsia"/>
        </w:rPr>
        <w:t>新增采购预告。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</w:t>
      </w:r>
      <w:r>
        <w:rPr>
          <w:rFonts w:hint="eastAsia"/>
        </w:rPr>
        <w:t>项目管理</w:t>
      </w:r>
      <w:r>
        <w:t>—</w:t>
      </w:r>
      <w:r>
        <w:rPr>
          <w:rFonts w:hint="eastAsia"/>
        </w:rPr>
        <w:t>采购预告</w:t>
      </w:r>
      <w:r>
        <w:t>”，</w:t>
      </w:r>
      <w:r>
        <w:rPr>
          <w:rFonts w:hint="eastAsia"/>
        </w:rPr>
        <w:t>采购代理可以发布采购预告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1770" cy="1790700"/>
            <wp:effectExtent l="0" t="0" r="5080" b="0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2"/>
        </w:numPr>
        <w:spacing w:line="360" w:lineRule="auto"/>
        <w:ind w:firstLineChars="0"/>
        <w:jc w:val="left"/>
      </w:pPr>
      <w:r>
        <w:t>新增</w:t>
      </w:r>
      <w:r>
        <w:rPr>
          <w:rFonts w:hint="eastAsia"/>
        </w:rPr>
        <w:t>采购预告</w:t>
      </w:r>
      <w:r>
        <w:t>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“新增采购预告”</w:t>
      </w:r>
      <w:r>
        <w:t>，进入</w:t>
      </w:r>
      <w:r>
        <w:rPr>
          <w:rFonts w:hint="eastAsia"/>
        </w:rPr>
        <w:t>挑选分包</w:t>
      </w:r>
      <w:r>
        <w:t>页面。</w:t>
      </w:r>
    </w:p>
    <w:p>
      <w:pPr>
        <w:spacing w:line="360" w:lineRule="auto"/>
      </w:pPr>
      <w:r>
        <w:drawing>
          <wp:inline distT="0" distB="0" distL="114300" distR="114300">
            <wp:extent cx="5267325" cy="2196465"/>
            <wp:effectExtent l="0" t="0" r="9525" b="13335"/>
            <wp:docPr id="3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勾选所需的分包，</w:t>
      </w:r>
      <w:r>
        <w:t>点击</w:t>
      </w:r>
      <w:r>
        <w:rPr>
          <w:rFonts w:hint="eastAsia"/>
        </w:rPr>
        <w:t>“确认选择”</w:t>
      </w:r>
      <w:r>
        <w:t>，录入所选</w:t>
      </w:r>
      <w:r>
        <w:rPr>
          <w:rFonts w:hint="eastAsia"/>
        </w:rPr>
        <w:t>分包</w:t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、分包录入完成后，</w:t>
      </w:r>
      <w:r>
        <w:t>点击</w:t>
      </w:r>
      <w:r>
        <w:rPr>
          <w:rFonts w:hint="eastAsia"/>
        </w:rPr>
        <w:t>“下一步”按钮</w:t>
      </w:r>
      <w:r>
        <w:t>，进入事项处理页面。</w:t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“提交备案”</w:t>
      </w:r>
      <w:r>
        <w:t>按钮，提交</w:t>
      </w:r>
      <w:r>
        <w:rPr>
          <w:rFonts w:hint="eastAsia"/>
        </w:rPr>
        <w:t>采购预告到</w:t>
      </w:r>
      <w:r>
        <w:t>中心审核。</w:t>
      </w:r>
    </w:p>
    <w:p>
      <w:pPr>
        <w:spacing w:line="360" w:lineRule="auto"/>
      </w:pPr>
      <w:r>
        <w:drawing>
          <wp:inline distT="0" distB="0" distL="114300" distR="114300">
            <wp:extent cx="5267960" cy="2183765"/>
            <wp:effectExtent l="0" t="0" r="8890" b="6985"/>
            <wp:docPr id="3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83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①采购预告提交审核后，可以在“审核状态”列中查看其状态。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②只有处于“编辑中”、“审核未通过”状态的采购预告才可以删除。</w:t>
      </w:r>
    </w:p>
    <w:p>
      <w:pPr>
        <w:spacing w:line="360" w:lineRule="auto"/>
        <w:rPr>
          <w:spacing w:val="4"/>
        </w:rPr>
      </w:pPr>
    </w:p>
    <w:p>
      <w:pPr>
        <w:pStyle w:val="3"/>
      </w:pPr>
      <w:bookmarkStart w:id="56" w:name="_Toc393"/>
      <w:bookmarkStart w:id="57" w:name="_Toc475978934"/>
      <w:bookmarkStart w:id="58" w:name="_Toc346701640"/>
      <w:r>
        <w:t>开标前</w:t>
      </w:r>
      <w:bookmarkEnd w:id="56"/>
      <w:bookmarkEnd w:id="57"/>
      <w:bookmarkEnd w:id="58"/>
    </w:p>
    <w:p>
      <w:pPr>
        <w:pStyle w:val="4"/>
      </w:pPr>
      <w:bookmarkStart w:id="59" w:name="_Toc475978935"/>
      <w:bookmarkStart w:id="60" w:name="_Toc1934"/>
      <w:bookmarkStart w:id="61" w:name="_Toc346701641"/>
      <w:r>
        <w:rPr>
          <w:rFonts w:hint="eastAsia"/>
        </w:rPr>
        <w:t>交易</w:t>
      </w:r>
      <w:r>
        <w:t>公告</w:t>
      </w:r>
      <w:bookmarkEnd w:id="59"/>
      <w:bookmarkEnd w:id="60"/>
      <w:bookmarkEnd w:id="6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项目计划已经审核通过。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交易</w:t>
      </w:r>
      <w:r>
        <w:t>公告”，</w:t>
      </w:r>
      <w:r>
        <w:rPr>
          <w:rFonts w:hint="eastAsia"/>
        </w:rPr>
        <w:t>采购代理发布交易</w:t>
      </w:r>
      <w:r>
        <w:t>公告，如下图：</w:t>
      </w:r>
    </w:p>
    <w:p>
      <w:pPr>
        <w:spacing w:line="360" w:lineRule="auto"/>
      </w:pPr>
      <w:r>
        <w:drawing>
          <wp:inline distT="0" distB="0" distL="114300" distR="114300">
            <wp:extent cx="5263515" cy="1814195"/>
            <wp:effectExtent l="0" t="0" r="13335" b="14605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新增公告：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“新增交易公告”</w:t>
      </w:r>
      <w:r>
        <w:t>按钮，进入标段选择页面。</w:t>
      </w:r>
    </w:p>
    <w:p>
      <w:pPr>
        <w:spacing w:line="360" w:lineRule="auto"/>
        <w:rPr>
          <w:b/>
        </w:rPr>
      </w:pPr>
      <w:r>
        <w:drawing>
          <wp:inline distT="0" distB="0" distL="114300" distR="114300">
            <wp:extent cx="5268595" cy="2185670"/>
            <wp:effectExtent l="0" t="0" r="8255" b="5080"/>
            <wp:docPr id="3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2245" cy="2188210"/>
            <wp:effectExtent l="0" t="0" r="14605" b="2540"/>
            <wp:docPr id="3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①标书付费方式：单发包即为单个分包需要缴纳的标书费用，项目所有包即为缴纳该项目下所以分包的标书费用。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②是否限制注册资金：选择是，弹出注册金输入选项，此时低于该注册金的供应商无法报名。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③是否网上报名：选择是，则供应商可以网上报名；选择否，只能中心端报名。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④企业资质：设定相应的企业资质，对报名的供应商进行限制，对于未满足指定资质的供应商，将无法报名。</w:t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输入相关公告信息后，点击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rPr>
          <w:spacing w:val="4"/>
        </w:rPr>
      </w:pPr>
      <w:r>
        <w:drawing>
          <wp:inline distT="0" distB="0" distL="114300" distR="114300">
            <wp:extent cx="5269230" cy="2190115"/>
            <wp:effectExtent l="0" t="0" r="7620" b="635"/>
            <wp:docPr id="3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62" w:name="_Toc28461"/>
      <w:bookmarkStart w:id="63" w:name="_Toc475978936"/>
      <w:bookmarkStart w:id="64" w:name="_Toc346701643"/>
      <w:r>
        <w:rPr>
          <w:rFonts w:hint="eastAsia"/>
        </w:rPr>
        <w:t>交易</w:t>
      </w:r>
      <w:r>
        <w:t>文件</w:t>
      </w:r>
      <w:bookmarkEnd w:id="62"/>
      <w:bookmarkEnd w:id="63"/>
      <w:bookmarkEnd w:id="64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交易公告已经审核通过。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新增交易文件。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交易</w:t>
      </w:r>
      <w:r>
        <w:t>文件”，</w:t>
      </w:r>
      <w:r>
        <w:rPr>
          <w:rFonts w:hint="eastAsia"/>
        </w:rPr>
        <w:t>采购代理</w:t>
      </w:r>
      <w:r>
        <w:t>发布</w:t>
      </w:r>
      <w:r>
        <w:rPr>
          <w:rFonts w:hint="eastAsia"/>
        </w:rPr>
        <w:t>交易文件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1803400"/>
            <wp:effectExtent l="0" t="0" r="10795" b="635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新增招标文件：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点击</w:t>
      </w:r>
      <w:r>
        <w:rPr>
          <w:rFonts w:hint="eastAsia"/>
        </w:rPr>
        <w:t>“新增招标文件”</w:t>
      </w:r>
      <w:r>
        <w:t>按钮，进入标段选择页面。</w:t>
      </w:r>
    </w:p>
    <w:p>
      <w:pPr>
        <w:spacing w:line="360" w:lineRule="auto"/>
      </w:pPr>
      <w:r>
        <w:drawing>
          <wp:inline distT="0" distB="0" distL="114300" distR="114300">
            <wp:extent cx="5271135" cy="2173605"/>
            <wp:effectExtent l="0" t="0" r="5715" b="17145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选择</w:t>
      </w:r>
      <w:r>
        <w:t>所需的标段，点击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2、输入相关招标文件信息后，点击“下一步”按钮进入事项处理页面。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71135" cy="2169795"/>
            <wp:effectExtent l="0" t="0" r="5715" b="1905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点击</w:t>
      </w:r>
      <w:r>
        <w:rPr>
          <w:rFonts w:hint="eastAsia"/>
        </w:rPr>
        <w:t>“电子件管理”链接</w:t>
      </w:r>
      <w:r>
        <w:t>，进入招标文件上传页面。</w:t>
      </w:r>
    </w:p>
    <w:p>
      <w:pPr>
        <w:spacing w:line="360" w:lineRule="auto"/>
      </w:pPr>
      <w:r>
        <w:drawing>
          <wp:inline distT="0" distB="0" distL="114300" distR="114300">
            <wp:extent cx="5266055" cy="1922780"/>
            <wp:effectExtent l="0" t="0" r="10795" b="127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“选择电子件上传”</w:t>
      </w:r>
      <w:r>
        <w:t>按钮，上传招标文件。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</w:pPr>
      <w:r>
        <w:drawing>
          <wp:inline distT="0" distB="0" distL="114300" distR="114300">
            <wp:extent cx="5269230" cy="2174240"/>
            <wp:effectExtent l="0" t="0" r="7620" b="16510"/>
            <wp:docPr id="4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①招标文件提交审核后，可以在“审核状态”列中查看其状态。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②只有处于“编辑中”、“审核未通过”状态的招标文件才可以删除。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65" w:name="_Toc475978937"/>
      <w:r>
        <w:t>场地预约</w:t>
      </w:r>
      <w:bookmarkEnd w:id="65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项目注册已经审核通过。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新增场地预约。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场地预约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场地进行预约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62245" cy="1793875"/>
            <wp:effectExtent l="0" t="0" r="14605" b="15875"/>
            <wp:docPr id="4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“新增开标场地”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>
      <w:pPr>
        <w:spacing w:line="360" w:lineRule="auto"/>
      </w:pPr>
      <w:r>
        <w:drawing>
          <wp:inline distT="0" distB="0" distL="114300" distR="114300">
            <wp:extent cx="5263515" cy="2190750"/>
            <wp:effectExtent l="0" t="0" r="13335" b="0"/>
            <wp:docPr id="4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进入开评标场地预约页面，如图：</w:t>
      </w:r>
    </w:p>
    <w:p>
      <w:pPr>
        <w:spacing w:line="360" w:lineRule="auto"/>
      </w:pPr>
      <w:r>
        <w:drawing>
          <wp:inline distT="0" distB="0" distL="114300" distR="114300">
            <wp:extent cx="5262245" cy="2192020"/>
            <wp:effectExtent l="0" t="0" r="14605" b="17780"/>
            <wp:docPr id="5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，如图：</w:t>
      </w:r>
    </w:p>
    <w:p>
      <w:pPr>
        <w:spacing w:line="360" w:lineRule="auto"/>
      </w:pPr>
      <w:r>
        <w:drawing>
          <wp:inline distT="0" distB="0" distL="114300" distR="114300">
            <wp:extent cx="5266690" cy="2229485"/>
            <wp:effectExtent l="0" t="0" r="10160" b="18415"/>
            <wp:docPr id="5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9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①场地预约提交审核后，可以在“审核状态”列中查看其状态。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②只有处于“编辑中”、“审核未通过”状态的场地预约才可以删除。</w:t>
      </w:r>
    </w:p>
    <w:p>
      <w:pPr>
        <w:pStyle w:val="4"/>
      </w:pPr>
      <w:bookmarkStart w:id="66" w:name="_Toc475978938"/>
      <w:r>
        <w:t>场地</w:t>
      </w:r>
      <w:r>
        <w:rPr>
          <w:rFonts w:hint="eastAsia"/>
        </w:rPr>
        <w:t>变更</w:t>
      </w:r>
      <w:bookmarkEnd w:id="66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场地预约已经审核通过。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新增场地变更。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场地变更</w:t>
      </w:r>
      <w:r>
        <w:t>”，</w:t>
      </w:r>
      <w:r>
        <w:rPr>
          <w:rFonts w:hint="eastAsia"/>
        </w:rPr>
        <w:t>采购代理</w:t>
      </w:r>
      <w:r>
        <w:t>可以对</w:t>
      </w:r>
      <w:r>
        <w:rPr>
          <w:rFonts w:hint="eastAsia"/>
        </w:rPr>
        <w:t>场地进行变更</w:t>
      </w:r>
      <w:r>
        <w:t>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1753870"/>
            <wp:effectExtent l="0" t="0" r="4445" b="1778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“新增开评标场地变更”</w:t>
      </w:r>
      <w:r>
        <w:t>按钮，进入选择</w:t>
      </w:r>
      <w:r>
        <w:rPr>
          <w:rFonts w:hint="eastAsia"/>
        </w:rPr>
        <w:t>标段</w:t>
      </w:r>
      <w:r>
        <w:t>页面。</w:t>
      </w:r>
    </w:p>
    <w:p>
      <w:pPr>
        <w:spacing w:line="360" w:lineRule="auto"/>
      </w:pPr>
      <w:r>
        <w:drawing>
          <wp:inline distT="0" distB="0" distL="114300" distR="114300">
            <wp:extent cx="5268595" cy="2181860"/>
            <wp:effectExtent l="0" t="0" r="8255" b="889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勾选所需标段，点击</w:t>
      </w:r>
      <w:r>
        <w:rPr>
          <w:rFonts w:hint="eastAsia"/>
        </w:rPr>
        <w:t>“确定选择”</w:t>
      </w:r>
      <w:r>
        <w:t>按钮，</w:t>
      </w:r>
      <w:r>
        <w:rPr>
          <w:rFonts w:hint="eastAsia"/>
        </w:rPr>
        <w:t>进入开评标场地变更页面，如图：</w:t>
      </w:r>
    </w:p>
    <w:p>
      <w:pPr>
        <w:spacing w:line="360" w:lineRule="auto"/>
      </w:pPr>
      <w:r>
        <w:drawing>
          <wp:inline distT="0" distB="0" distL="114300" distR="114300">
            <wp:extent cx="5263515" cy="2134870"/>
            <wp:effectExtent l="0" t="0" r="1333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①开标时间必须要大于当前时间。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②开标室必须在开标时间段中没有被占用，场地使用信息模块中的表格会显示场地占用情况。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4、输入</w:t>
      </w:r>
      <w:r>
        <w:t>开标场地等信息，点击</w:t>
      </w:r>
      <w:r>
        <w:rPr>
          <w:rFonts w:hint="eastAsia"/>
        </w:rPr>
        <w:t>“招标办备案”</w:t>
      </w:r>
      <w:r>
        <w:t>按钮</w:t>
      </w:r>
      <w:r>
        <w:rPr>
          <w:rFonts w:hint="eastAsia"/>
        </w:rPr>
        <w:t>，如图：</w:t>
      </w:r>
    </w:p>
    <w:p>
      <w:pPr>
        <w:spacing w:line="360" w:lineRule="auto"/>
      </w:pPr>
      <w:r>
        <w:drawing>
          <wp:inline distT="0" distB="0" distL="114300" distR="114300">
            <wp:extent cx="5266055" cy="2045335"/>
            <wp:effectExtent l="0" t="0" r="10795" b="1206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①场地变更提交审核后，可以在“审核状态”列中查看其状态。</w:t>
      </w:r>
    </w:p>
    <w:p>
      <w:pPr>
        <w:pStyle w:val="4"/>
      </w:pPr>
      <w:bookmarkStart w:id="67" w:name="_Toc475978939"/>
      <w:bookmarkStart w:id="68" w:name="_Toc346701645"/>
      <w:r>
        <w:t>答疑文件</w:t>
      </w:r>
      <w:bookmarkEnd w:id="67"/>
      <w:bookmarkEnd w:id="6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新增条目分包，组建项目。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进入菜单“开标前—答疑文件”，</w:t>
      </w:r>
      <w:r>
        <w:rPr>
          <w:rFonts w:hint="eastAsia"/>
        </w:rPr>
        <w:t>采购代理</w:t>
      </w:r>
      <w:r>
        <w:t>可以对招标文件进行答疑操作，如下图：</w:t>
      </w:r>
    </w:p>
    <w:p>
      <w:pPr>
        <w:spacing w:line="360" w:lineRule="auto"/>
      </w:pPr>
      <w:r>
        <w:drawing>
          <wp:inline distT="0" distB="0" distL="114300" distR="114300">
            <wp:extent cx="5267325" cy="1790700"/>
            <wp:effectExtent l="0" t="0" r="9525" b="0"/>
            <wp:docPr id="5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bookmarkStart w:id="69" w:name="_Toc25718"/>
      <w:r>
        <w:rPr>
          <w:b/>
        </w:rPr>
        <w:t>新增答疑文件：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“新增答疑”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114300" distR="114300">
            <wp:extent cx="5266690" cy="2194560"/>
            <wp:effectExtent l="0" t="0" r="10160" b="15240"/>
            <wp:docPr id="5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4150" cy="2179955"/>
            <wp:effectExtent l="0" t="0" r="12700" b="10795"/>
            <wp:docPr id="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9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答疑文件信息后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66055" cy="2184400"/>
            <wp:effectExtent l="0" t="0" r="10795" b="6350"/>
            <wp:docPr id="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0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“电子件管理”链接</w:t>
      </w:r>
      <w:r>
        <w:t>，进入答疑文件上传页面。</w:t>
      </w:r>
    </w:p>
    <w:p>
      <w:pPr>
        <w:spacing w:line="360" w:lineRule="auto"/>
      </w:pPr>
      <w:r>
        <w:drawing>
          <wp:inline distT="0" distB="0" distL="114300" distR="114300">
            <wp:extent cx="5267960" cy="1991995"/>
            <wp:effectExtent l="0" t="0" r="8890" b="8255"/>
            <wp:docPr id="6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1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点击</w:t>
      </w:r>
      <w:r>
        <w:rPr>
          <w:rFonts w:hint="eastAsia"/>
        </w:rPr>
        <w:t>“选择文件”</w:t>
      </w:r>
      <w:r>
        <w:t>按钮，上传答疑文件。</w:t>
      </w:r>
      <w:bookmarkStart w:id="70" w:name="_Toc346701646"/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①下次答疑，必须再上一次答疑文件审核通过后才能提交审核。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②答疑文件提交审核后，可以在“审核状态”列中查看其状态。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③只有处于“编辑中”、“审核未通过”状态的答疑文件才可以删除。</w:t>
      </w:r>
    </w:p>
    <w:p>
      <w:pPr>
        <w:spacing w:line="360" w:lineRule="auto"/>
        <w:ind w:left="436"/>
        <w:jc w:val="left"/>
        <w:rPr>
          <w:color w:val="FF0000"/>
          <w:spacing w:val="4"/>
        </w:rPr>
      </w:pPr>
    </w:p>
    <w:bookmarkEnd w:id="69"/>
    <w:bookmarkEnd w:id="70"/>
    <w:p>
      <w:pPr>
        <w:pStyle w:val="4"/>
      </w:pPr>
      <w:bookmarkStart w:id="71" w:name="_Toc475978940"/>
      <w:r>
        <w:rPr>
          <w:rFonts w:hint="eastAsia"/>
        </w:rPr>
        <w:t>变更公告</w:t>
      </w:r>
      <w:bookmarkEnd w:id="7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流程功能：</w:t>
      </w:r>
      <w:r>
        <w:rPr>
          <w:rFonts w:hint="eastAsia"/>
        </w:rPr>
        <w:t>新增变更公告。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变更公告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66055" cy="1802130"/>
            <wp:effectExtent l="0" t="0" r="10795" b="7620"/>
            <wp:docPr id="6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变更公告</w:t>
      </w:r>
      <w:r>
        <w:rPr>
          <w:b/>
        </w:rPr>
        <w:t>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“新增变更公告”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114300" distR="114300">
            <wp:extent cx="5266055" cy="2219960"/>
            <wp:effectExtent l="0" t="0" r="10795" b="8890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9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5420" cy="2139315"/>
            <wp:effectExtent l="0" t="0" r="11430" b="13335"/>
            <wp:docPr id="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输入</w:t>
      </w:r>
      <w:r>
        <w:rPr>
          <w:rFonts w:hint="eastAsia"/>
        </w:rPr>
        <w:t>变更公告内容信息后</w:t>
      </w:r>
      <w:r>
        <w:t>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71770" cy="2178685"/>
            <wp:effectExtent l="0" t="0" r="5080" b="12065"/>
            <wp:docPr id="6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注：点击相关附件中“点击签章”链接，进行变更公告签章。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①变更公告提交审核后，可以在“审核状态”列中查看其状态。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②只有处于“编辑中”、“审核未通过”状态的变更公告才可以删除。</w:t>
      </w:r>
    </w:p>
    <w:p>
      <w:pPr>
        <w:spacing w:line="360" w:lineRule="auto"/>
      </w:pPr>
    </w:p>
    <w:p>
      <w:pPr>
        <w:pStyle w:val="4"/>
      </w:pPr>
      <w:bookmarkStart w:id="72" w:name="_Toc475978941"/>
      <w:r>
        <w:rPr>
          <w:rFonts w:hint="eastAsia"/>
        </w:rPr>
        <w:t>提问回复</w:t>
      </w:r>
      <w:bookmarkEnd w:id="72"/>
    </w:p>
    <w:p>
      <w:pPr>
        <w:spacing w:line="360" w:lineRule="auto"/>
        <w:ind w:firstLine="422"/>
      </w:pPr>
      <w:r>
        <w:rPr>
          <w:rFonts w:hint="eastAsia"/>
          <w:b/>
        </w:rPr>
        <w:t>前置条件：</w:t>
      </w:r>
      <w:r>
        <w:rPr>
          <w:rFonts w:hint="eastAsia"/>
        </w:rPr>
        <w:t>项目审核通过。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采购代理对标段信息进行提问。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进入菜单“开标前—</w:t>
      </w:r>
      <w:r>
        <w:rPr>
          <w:rFonts w:hint="eastAsia"/>
        </w:rPr>
        <w:t>提问回复</w:t>
      </w:r>
      <w:r>
        <w:t>”，</w:t>
      </w:r>
      <w:r>
        <w:rPr>
          <w:rFonts w:hint="eastAsia"/>
        </w:rPr>
        <w:t>进入采购代理提问回复页面</w:t>
      </w:r>
      <w:r>
        <w:t>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83080"/>
            <wp:effectExtent l="0" t="0" r="13335" b="7620"/>
            <wp:docPr id="6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点击</w:t>
      </w:r>
      <w:r>
        <w:rPr>
          <w:rFonts w:hint="eastAsia"/>
        </w:rPr>
        <w:t>回答列“回答”</w:t>
      </w:r>
      <w:r>
        <w:t>按钮，进入</w:t>
      </w:r>
      <w:r>
        <w:rPr>
          <w:rFonts w:hint="eastAsia"/>
        </w:rPr>
        <w:t>分包问题回复页面，如图：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5420" cy="2143125"/>
            <wp:effectExtent l="0" t="0" r="11430" b="9525"/>
            <wp:docPr id="7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注：分包问题回复，选择未解答状态的分包进行问题回复。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3、录入问题答复信息后</w:t>
      </w:r>
      <w:r>
        <w:t>，点击</w:t>
      </w:r>
      <w:r>
        <w:rPr>
          <w:rFonts w:hint="eastAsia"/>
        </w:rPr>
        <w:t>“问题答复”</w:t>
      </w:r>
      <w:r>
        <w:t>按钮，完成</w:t>
      </w:r>
      <w:r>
        <w:rPr>
          <w:rFonts w:hint="eastAsia"/>
        </w:rPr>
        <w:t>问题答复，如图：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7325" cy="1767205"/>
            <wp:effectExtent l="0" t="0" r="9525" b="4445"/>
            <wp:docPr id="7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8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pacing w:val="4"/>
        </w:rPr>
      </w:pPr>
    </w:p>
    <w:p>
      <w:pPr>
        <w:pStyle w:val="3"/>
      </w:pPr>
      <w:bookmarkStart w:id="73" w:name="_Toc346701648"/>
      <w:bookmarkStart w:id="74" w:name="_Toc15586"/>
      <w:bookmarkStart w:id="75" w:name="_Toc475978942"/>
      <w:r>
        <w:t>开标后</w:t>
      </w:r>
      <w:bookmarkEnd w:id="73"/>
      <w:bookmarkEnd w:id="74"/>
      <w:bookmarkEnd w:id="75"/>
    </w:p>
    <w:p>
      <w:pPr>
        <w:pStyle w:val="4"/>
      </w:pPr>
      <w:bookmarkStart w:id="76" w:name="_Toc346701650"/>
      <w:bookmarkStart w:id="77" w:name="_Toc1382"/>
      <w:bookmarkStart w:id="78" w:name="_Toc475978943"/>
      <w:r>
        <w:t>中标公示</w:t>
      </w:r>
      <w:bookmarkEnd w:id="76"/>
      <w:bookmarkEnd w:id="77"/>
      <w:bookmarkEnd w:id="78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新增中标公示。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进入菜单“开标后—中标公示”，如下图：</w:t>
      </w:r>
    </w:p>
    <w:p>
      <w:pPr>
        <w:spacing w:line="360" w:lineRule="auto"/>
      </w:pPr>
      <w:r>
        <w:drawing>
          <wp:inline distT="0" distB="0" distL="114300" distR="114300">
            <wp:extent cx="5263515" cy="1802130"/>
            <wp:effectExtent l="0" t="0" r="13335" b="7620"/>
            <wp:docPr id="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9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</w:t>
      </w:r>
      <w:r>
        <w:rPr>
          <w:rFonts w:hint="eastAsia"/>
          <w:b/>
        </w:rPr>
        <w:t>中标</w:t>
      </w:r>
      <w:r>
        <w:rPr>
          <w:b/>
        </w:rPr>
        <w:t>公示：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“新增中标公示”</w:t>
      </w:r>
      <w:r>
        <w:t>按钮，进入</w:t>
      </w:r>
      <w:r>
        <w:rPr>
          <w:rFonts w:hint="eastAsia"/>
        </w:rPr>
        <w:t>分包</w:t>
      </w:r>
      <w:r>
        <w:t>选择页面。</w:t>
      </w:r>
    </w:p>
    <w:p>
      <w:pPr>
        <w:spacing w:line="360" w:lineRule="auto"/>
      </w:pPr>
      <w:r>
        <w:drawing>
          <wp:inline distT="0" distB="0" distL="114300" distR="114300">
            <wp:extent cx="5266690" cy="2183130"/>
            <wp:effectExtent l="0" t="0" r="10160" b="7620"/>
            <wp:docPr id="7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0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</w:pPr>
      <w:r>
        <w:drawing>
          <wp:inline distT="0" distB="0" distL="114300" distR="114300">
            <wp:extent cx="5266690" cy="2201545"/>
            <wp:effectExtent l="0" t="0" r="10160" b="8255"/>
            <wp:docPr id="76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</w:t>
      </w:r>
      <w:r>
        <w:t>输入相关中标公告信息，并选择中标单位及价格后，点击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65420" cy="2155190"/>
            <wp:effectExtent l="0" t="0" r="11430" b="16510"/>
            <wp:docPr id="7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2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960" cy="2211705"/>
            <wp:effectExtent l="0" t="0" r="8890" b="17145"/>
            <wp:docPr id="7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3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注：中标单位需要供应商或中心端进行投标报名，且开标时间已过才能选择到。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4、点击“点击签章”链接，为中标公示进行电子签章，如下图：</w:t>
      </w:r>
    </w:p>
    <w:p>
      <w:pPr>
        <w:spacing w:line="360" w:lineRule="auto"/>
      </w:pPr>
      <w:r>
        <w:drawing>
          <wp:inline distT="0" distB="0" distL="0" distR="0">
            <wp:extent cx="5274310" cy="2533650"/>
            <wp:effectExtent l="1905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确认无误后，点击</w:t>
      </w:r>
      <w:r>
        <w:rPr>
          <w:rFonts w:hint="eastAsia"/>
        </w:rPr>
        <w:t>“提交备案”</w:t>
      </w:r>
      <w: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①中标公示提交审核后，可以在“审核状态”列中查看其状态。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②只有处于“编辑中”、“审核未通过”状态的中标公示才可以删除。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79" w:name="_Toc475978944"/>
      <w:bookmarkStart w:id="80" w:name="_Toc346701651"/>
      <w:r>
        <w:t>中标通知书</w:t>
      </w:r>
      <w:bookmarkEnd w:id="79"/>
      <w:bookmarkEnd w:id="80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中标公示已经审核通过。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新增中标通知书。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进入菜单“开标后—中标通知书”，如下图：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91970"/>
            <wp:effectExtent l="0" t="0" r="13335" b="17780"/>
            <wp:docPr id="8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4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</w:rPr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“新增中标通知书”</w:t>
      </w:r>
      <w:r>
        <w:t>按钮，进入标段选择页面。</w:t>
      </w:r>
    </w:p>
    <w:p>
      <w:pPr>
        <w:spacing w:line="360" w:lineRule="auto"/>
      </w:pPr>
      <w:r>
        <w:drawing>
          <wp:inline distT="0" distB="0" distL="114300" distR="114300">
            <wp:extent cx="5268595" cy="1936750"/>
            <wp:effectExtent l="0" t="0" r="8255" b="6350"/>
            <wp:docPr id="8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6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t>2</w:t>
      </w:r>
      <w:r>
        <w:rPr>
          <w:rFonts w:hint="eastAsia"/>
        </w:rPr>
        <w:t>、</w:t>
      </w:r>
      <w:r>
        <w:t>输入</w:t>
      </w:r>
      <w:r>
        <w:rPr>
          <w:rFonts w:hint="eastAsia"/>
        </w:rPr>
        <w:t>合同签订起止日期</w:t>
      </w:r>
      <w:r>
        <w:t>后，点击</w:t>
      </w:r>
      <w:r>
        <w:rPr>
          <w:rFonts w:hint="eastAsia"/>
        </w:rPr>
        <w:t>“下一步”</w:t>
      </w:r>
      <w:r>
        <w:t>按钮进入事项处理页面。</w:t>
      </w:r>
    </w:p>
    <w:p>
      <w:pPr>
        <w:spacing w:line="360" w:lineRule="auto"/>
        <w:ind w:firstLine="420" w:firstLineChars="200"/>
        <w:jc w:val="left"/>
      </w:pPr>
      <w:r>
        <w:t>3</w:t>
      </w:r>
      <w:r>
        <w:rPr>
          <w:rFonts w:hint="eastAsia"/>
        </w:rPr>
        <w:t>、点击“提交备案”按钮，提交中标通知书到中心审核。</w:t>
      </w:r>
    </w:p>
    <w:p>
      <w:pPr>
        <w:spacing w:line="360" w:lineRule="auto"/>
      </w:pPr>
      <w:r>
        <w:drawing>
          <wp:inline distT="0" distB="0" distL="114300" distR="114300">
            <wp:extent cx="5267325" cy="2182495"/>
            <wp:effectExtent l="0" t="0" r="9525" b="8255"/>
            <wp:docPr id="85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47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4、点击“点击生成”链接，进入中标通知书页面。如下图：</w:t>
      </w:r>
    </w:p>
    <w:p>
      <w:pPr>
        <w:spacing w:line="360" w:lineRule="auto"/>
      </w:pPr>
      <w:r>
        <w:drawing>
          <wp:inline distT="0" distB="0" distL="0" distR="0">
            <wp:extent cx="5274310" cy="2254250"/>
            <wp:effectExtent l="19050" t="0" r="254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</w:t>
      </w:r>
      <w:r>
        <w:rPr>
          <w:color w:val="FF0000"/>
        </w:rPr>
        <w:t>点击</w:t>
      </w:r>
      <w:r>
        <w:rPr>
          <w:rFonts w:hint="eastAsia"/>
          <w:color w:val="FF0000"/>
        </w:rPr>
        <w:t>“提交备案”</w:t>
      </w:r>
      <w:r>
        <w:rPr>
          <w:color w:val="FF0000"/>
        </w:rPr>
        <w:t>按钮，提交中心审核。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②中标通知书提交审核后，可以在“审核状态”列中查看其状态。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③只有处于“编辑中”、“审核未通过”状态的中标通知书才可以删除。</w:t>
      </w:r>
    </w:p>
    <w:p>
      <w:pPr>
        <w:spacing w:line="360" w:lineRule="auto"/>
      </w:pPr>
    </w:p>
    <w:p>
      <w:pPr>
        <w:pStyle w:val="4"/>
      </w:pPr>
      <w:bookmarkStart w:id="81" w:name="_Toc475978945"/>
      <w:r>
        <w:rPr>
          <w:rFonts w:hint="eastAsia"/>
        </w:rPr>
        <w:t>合同备案</w:t>
      </w:r>
      <w:bookmarkEnd w:id="81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中标通知书已经审核通过。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新增采购合同备案信息。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合同备案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72405" cy="1671320"/>
            <wp:effectExtent l="0" t="0" r="4445" b="5080"/>
            <wp:docPr id="86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48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1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b/>
        </w:rPr>
        <w:t>新增中标通知书：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1、点击“新增合同备案”按钮，进入分包选择页面：</w:t>
      </w:r>
    </w:p>
    <w:p>
      <w:pPr>
        <w:spacing w:line="360" w:lineRule="auto"/>
      </w:pPr>
      <w:r>
        <w:drawing>
          <wp:inline distT="0" distB="0" distL="114300" distR="114300">
            <wp:extent cx="5267325" cy="2148840"/>
            <wp:effectExtent l="0" t="0" r="9525" b="3810"/>
            <wp:docPr id="8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49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</w:t>
      </w: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</w:t>
      </w:r>
      <w:r>
        <w:rPr>
          <w:rFonts w:hint="eastAsia"/>
        </w:rPr>
        <w:t>，</w:t>
      </w:r>
      <w:r>
        <w:t>如</w:t>
      </w:r>
      <w:r>
        <w:rPr>
          <w:rFonts w:hint="eastAsia"/>
        </w:rPr>
        <w:t>下图：</w:t>
      </w:r>
    </w:p>
    <w:p>
      <w:pPr>
        <w:spacing w:line="360" w:lineRule="auto"/>
      </w:pPr>
      <w:r>
        <w:drawing>
          <wp:inline distT="0" distB="0" distL="114300" distR="114300">
            <wp:extent cx="5266055" cy="2212340"/>
            <wp:effectExtent l="0" t="0" r="10795" b="16510"/>
            <wp:docPr id="9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5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3、输入合同备案信息后</w:t>
      </w:r>
      <w:r>
        <w:t>，点击</w:t>
      </w:r>
      <w:r>
        <w:rPr>
          <w:rFonts w:hint="eastAsia"/>
        </w:rPr>
        <w:t>“下一步”</w:t>
      </w:r>
      <w:r>
        <w:t>按钮</w:t>
      </w:r>
      <w:r>
        <w:rPr>
          <w:rFonts w:hint="eastAsia"/>
        </w:rPr>
        <w:t>，进入事物处理页面，如下图：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6055" cy="2212340"/>
            <wp:effectExtent l="0" t="0" r="10795" b="16510"/>
            <wp:docPr id="9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5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12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4、确认信息无误后，点击“提交备案”按钮，提交合同备案中心审核。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①合同备案提交审核后，可以在“审核状态”列中查看其状态。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②只有处于“编辑中”、“审核未通过”状态的合同备案才可以删除。</w:t>
      </w:r>
    </w:p>
    <w:p>
      <w:pPr>
        <w:spacing w:line="360" w:lineRule="auto"/>
        <w:jc w:val="left"/>
        <w:rPr>
          <w:spacing w:val="4"/>
        </w:rPr>
      </w:pPr>
    </w:p>
    <w:p>
      <w:pPr>
        <w:pStyle w:val="4"/>
      </w:pPr>
      <w:bookmarkStart w:id="82" w:name="_Toc475978946"/>
      <w:r>
        <w:rPr>
          <w:rFonts w:hint="eastAsia"/>
        </w:rPr>
        <w:t>采购异常</w:t>
      </w:r>
      <w:bookmarkEnd w:id="82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招标公告已经审核通过。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提交采购异常信息。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采购异常</w:t>
      </w:r>
      <w:r>
        <w:t>”，如下图：</w:t>
      </w:r>
    </w:p>
    <w:p>
      <w:pPr>
        <w:spacing w:line="360" w:lineRule="auto"/>
      </w:pPr>
      <w:r>
        <w:drawing>
          <wp:inline distT="0" distB="0" distL="114300" distR="114300">
            <wp:extent cx="5264785" cy="1787525"/>
            <wp:effectExtent l="0" t="0" r="12065" b="3175"/>
            <wp:docPr id="9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5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pStyle w:val="39"/>
        <w:numPr>
          <w:ilvl w:val="0"/>
          <w:numId w:val="2"/>
        </w:numPr>
        <w:spacing w:line="360" w:lineRule="auto"/>
        <w:ind w:firstLineChars="0"/>
        <w:rPr>
          <w:b/>
        </w:rPr>
      </w:pPr>
      <w:r>
        <w:rPr>
          <w:rFonts w:hint="eastAsia"/>
          <w:b/>
        </w:rPr>
        <w:t>新增异常</w:t>
      </w:r>
    </w:p>
    <w:p>
      <w:pPr>
        <w:spacing w:line="360" w:lineRule="auto"/>
        <w:ind w:firstLine="420" w:firstLineChars="200"/>
        <w:jc w:val="left"/>
      </w:pPr>
      <w:r>
        <w:t>1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“新增异常”</w:t>
      </w:r>
      <w:r>
        <w:t>按钮，进入标段选择页面。</w:t>
      </w:r>
    </w:p>
    <w:p>
      <w:pPr>
        <w:spacing w:line="360" w:lineRule="auto"/>
      </w:pPr>
      <w:r>
        <w:drawing>
          <wp:inline distT="0" distB="0" distL="114300" distR="114300">
            <wp:extent cx="5270500" cy="2184400"/>
            <wp:effectExtent l="0" t="0" r="6350" b="6350"/>
            <wp:docPr id="9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3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勾选所需的</w:t>
      </w:r>
      <w:r>
        <w:rPr>
          <w:rFonts w:hint="eastAsia"/>
        </w:rPr>
        <w:t>分包</w:t>
      </w:r>
      <w:r>
        <w:t>，点击</w:t>
      </w:r>
      <w:r>
        <w:rPr>
          <w:rFonts w:hint="eastAsia"/>
        </w:rPr>
        <w:t>“确定选择”</w:t>
      </w:r>
      <w:r>
        <w:t>按钮，完成录入。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异常类型分为现场变更、重新招标、延后变更3种方式，现场变更：直接变更招标方式，继续之后的流程；重新招标：标段以原招标方式重新预约场地，发布公告；延后变更：变更招标方式后重新预约场地，发布公告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</w:t>
      </w:r>
      <w:r>
        <w:t>选择</w:t>
      </w:r>
      <w:r>
        <w:rPr>
          <w:rFonts w:hint="eastAsia"/>
        </w:rPr>
        <w:t>变更后采购方式，填写</w:t>
      </w:r>
      <w:r>
        <w:t>异常</w:t>
      </w:r>
      <w:r>
        <w:rPr>
          <w:rFonts w:hint="eastAsia"/>
        </w:rPr>
        <w:t>原因等</w:t>
      </w:r>
      <w:r>
        <w:t>信息，点击</w:t>
      </w:r>
      <w:r>
        <w:rPr>
          <w:rFonts w:hint="eastAsia"/>
        </w:rPr>
        <w:t>“下一步”</w:t>
      </w:r>
      <w:r>
        <w:t>按钮，进入事项处理页面。</w:t>
      </w:r>
    </w:p>
    <w:p>
      <w:pPr>
        <w:spacing w:line="360" w:lineRule="auto"/>
      </w:pPr>
      <w:r>
        <w:drawing>
          <wp:inline distT="0" distB="0" distL="114300" distR="114300">
            <wp:extent cx="5270500" cy="2228215"/>
            <wp:effectExtent l="0" t="0" r="6350" b="635"/>
            <wp:docPr id="9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54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注：是否复制已报名单位，如勾选，之前报名的单位信息将在变更招标方式后保留。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4、</w:t>
      </w:r>
      <w:r>
        <w:t>点击</w:t>
      </w:r>
      <w:r>
        <w:rPr>
          <w:rFonts w:hint="eastAsia"/>
        </w:rPr>
        <w:t>“电子件管理”链接</w:t>
      </w:r>
      <w:r>
        <w:t>，进入</w:t>
      </w:r>
      <w:r>
        <w:rPr>
          <w:rFonts w:hint="eastAsia"/>
        </w:rPr>
        <w:t>重新招标相关电子件</w:t>
      </w:r>
      <w:r>
        <w:t>上传页面。</w:t>
      </w:r>
    </w:p>
    <w:p>
      <w:pPr>
        <w:spacing w:line="360" w:lineRule="auto"/>
      </w:pPr>
      <w:r>
        <w:drawing>
          <wp:inline distT="0" distB="0" distL="114300" distR="114300">
            <wp:extent cx="5265420" cy="2026285"/>
            <wp:effectExtent l="0" t="0" r="11430" b="12065"/>
            <wp:docPr id="9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55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t>按提示，点击</w:t>
      </w:r>
      <w:r>
        <w:rPr>
          <w:rFonts w:hint="eastAsia"/>
        </w:rPr>
        <w:t>“选择电子件上传”</w:t>
      </w:r>
      <w:r>
        <w:t>按钮，上传</w:t>
      </w:r>
      <w:r>
        <w:rPr>
          <w:rFonts w:hint="eastAsia"/>
        </w:rPr>
        <w:t>新招标相关电子件。</w:t>
      </w:r>
      <w:r>
        <w:t>点击</w:t>
      </w:r>
      <w:r>
        <w:rPr>
          <w:rFonts w:hint="eastAsia"/>
        </w:rPr>
        <w:t>“提交备案”</w:t>
      </w:r>
      <w:r>
        <w:t>按钮，提交中心审核</w:t>
      </w:r>
      <w:r>
        <w:rPr>
          <w:rFonts w:hint="eastAsia"/>
        </w:rPr>
        <w:t>。完成新增操作。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5、点击“提交审核”按钮，提交采购异常至中心端审核，如下图：</w:t>
      </w:r>
    </w:p>
    <w:p>
      <w:pPr>
        <w:spacing w:line="360" w:lineRule="auto"/>
      </w:pPr>
      <w:r>
        <w:drawing>
          <wp:inline distT="0" distB="0" distL="114300" distR="114300">
            <wp:extent cx="5267325" cy="2190750"/>
            <wp:effectExtent l="0" t="0" r="9525" b="0"/>
            <wp:docPr id="9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注：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①采购异常提交审核后，可以在“审核状态”列中查看其状态。</w:t>
      </w:r>
    </w:p>
    <w:p>
      <w:pPr>
        <w:spacing w:line="360" w:lineRule="auto"/>
        <w:ind w:firstLine="420" w:firstLineChars="200"/>
        <w:jc w:val="left"/>
        <w:rPr>
          <w:color w:val="FF0000"/>
        </w:rPr>
      </w:pPr>
      <w:r>
        <w:rPr>
          <w:rFonts w:hint="eastAsia"/>
          <w:color w:val="FF0000"/>
        </w:rPr>
        <w:t>②只有处于“编辑中”、“审核未通过”状态的采购异常才可以删除。</w:t>
      </w:r>
    </w:p>
    <w:p>
      <w:pPr>
        <w:pStyle w:val="4"/>
      </w:pPr>
      <w:bookmarkStart w:id="83" w:name="_Toc475978947"/>
      <w:r>
        <w:rPr>
          <w:rFonts w:hint="eastAsia"/>
        </w:rPr>
        <w:t>标后数据下载</w:t>
      </w:r>
      <w:bookmarkEnd w:id="83"/>
    </w:p>
    <w:p>
      <w:pPr>
        <w:spacing w:line="360" w:lineRule="auto"/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招标文件已经审核通过，开标时间已过。</w:t>
      </w:r>
    </w:p>
    <w:p>
      <w:pPr>
        <w:spacing w:line="360" w:lineRule="auto"/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下载电子件数据。</w:t>
      </w:r>
    </w:p>
    <w:p>
      <w:pPr>
        <w:spacing w:line="360" w:lineRule="auto"/>
        <w:ind w:firstLine="422"/>
        <w:rPr>
          <w:b/>
        </w:rPr>
      </w:pPr>
      <w:r>
        <w:rPr>
          <w:rFonts w:hint="eastAsia"/>
          <w:b/>
        </w:rPr>
        <w:t>操作步骤：</w:t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1、</w:t>
      </w:r>
      <w:r>
        <w:t>进入菜单“开标后—</w:t>
      </w:r>
      <w:r>
        <w:rPr>
          <w:rFonts w:hint="eastAsia"/>
        </w:rPr>
        <w:t>标后数据下载</w:t>
      </w:r>
      <w:r>
        <w:t>”，如下图：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9865" cy="1795780"/>
            <wp:effectExtent l="0" t="0" r="6985" b="13970"/>
            <wp:docPr id="99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7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9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2、点击下载列“下载”按钮，弹出下载提示，打包下载分包电子档案件，如图：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96415"/>
            <wp:effectExtent l="0" t="0" r="13335" b="13335"/>
            <wp:docPr id="10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8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</w:pPr>
      <w:r>
        <w:rPr>
          <w:rFonts w:hint="eastAsia"/>
        </w:rPr>
        <w:t>3、点击重新下载列“下载”按钮，弹出下载提示，重新打包下载分包电子档案件，如图：</w:t>
      </w:r>
    </w:p>
    <w:p>
      <w:pPr>
        <w:spacing w:line="360" w:lineRule="auto"/>
        <w:jc w:val="left"/>
        <w:rPr>
          <w:spacing w:val="4"/>
        </w:rPr>
      </w:pPr>
      <w:r>
        <w:drawing>
          <wp:inline distT="0" distB="0" distL="114300" distR="114300">
            <wp:extent cx="5263515" cy="1705610"/>
            <wp:effectExtent l="0" t="0" r="13335" b="8890"/>
            <wp:docPr id="10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59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800" w:bottom="1440" w:left="1800" w:header="454" w:footer="680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  <w:pBdr>
        <w:top w:val="single" w:color="9BBB59" w:sz="24" w:space="5"/>
      </w:pBdr>
      <w:wordWrap w:val="0"/>
      <w:jc w:val="right"/>
      <w:rPr>
        <w:i/>
        <w:iCs/>
        <w:color w:val="8C8C8C"/>
      </w:rPr>
    </w:pPr>
    <w:bookmarkStart w:id="84" w:name="_GoBack"/>
    <w:bookmarkEnd w:id="84"/>
    <w:r>
      <w:rPr>
        <w:rFonts w:hint="eastAsia"/>
      </w:rPr>
      <w:t xml:space="preserve">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41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pBdr>
        <w:bottom w:val="thickThinSmallGap" w:color="622423" w:sz="24" w:space="1"/>
      </w:pBdr>
      <w:jc w:val="left"/>
      <w:rPr>
        <w:rFonts w:ascii="Cambria" w:hAnsi="Cambria"/>
      </w:rPr>
    </w:pPr>
    <w:r>
      <w:t>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00084"/>
    <w:multiLevelType w:val="multilevel"/>
    <w:tmpl w:val="13100084"/>
    <w:lvl w:ilvl="0" w:tentative="0">
      <w:start w:val="1"/>
      <w:numFmt w:val="bullet"/>
      <w:lvlText w:val=""/>
      <w:lvlJc w:val="left"/>
      <w:pPr>
        <w:ind w:left="8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2" w:hanging="420"/>
      </w:pPr>
      <w:rPr>
        <w:rFonts w:hint="default" w:ascii="Wingdings" w:hAnsi="Wingdings"/>
      </w:rPr>
    </w:lvl>
  </w:abstractNum>
  <w:abstractNum w:abstractNumId="1">
    <w:nsid w:val="6A2F4AB3"/>
    <w:multiLevelType w:val="multilevel"/>
    <w:tmpl w:val="6A2F4AB3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851" w:hanging="851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pStyle w:val="6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7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20008"/>
    <w:rsid w:val="003215EB"/>
    <w:rsid w:val="00375975"/>
    <w:rsid w:val="00391906"/>
    <w:rsid w:val="00395CB1"/>
    <w:rsid w:val="003A0F0E"/>
    <w:rsid w:val="003C09A8"/>
    <w:rsid w:val="003C6096"/>
    <w:rsid w:val="003D12C5"/>
    <w:rsid w:val="003E2AB9"/>
    <w:rsid w:val="00401C6E"/>
    <w:rsid w:val="004121CD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FDF"/>
    <w:rsid w:val="00A839A8"/>
    <w:rsid w:val="00AC52BF"/>
    <w:rsid w:val="00AE0348"/>
    <w:rsid w:val="00AE7613"/>
    <w:rsid w:val="00AF6831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83152"/>
    <w:rsid w:val="00F8652D"/>
    <w:rsid w:val="00F878DE"/>
    <w:rsid w:val="00F956A1"/>
    <w:rsid w:val="00FA6310"/>
    <w:rsid w:val="00FB38B2"/>
    <w:rsid w:val="00FC1978"/>
    <w:rsid w:val="00FC29B2"/>
    <w:rsid w:val="00FC5549"/>
    <w:rsid w:val="00FD5AE4"/>
    <w:rsid w:val="00FD6DE7"/>
    <w:rsid w:val="057972AB"/>
    <w:rsid w:val="10AE7F7F"/>
    <w:rsid w:val="12AD3987"/>
    <w:rsid w:val="149D62F8"/>
    <w:rsid w:val="17C57D34"/>
    <w:rsid w:val="2F6D06B3"/>
    <w:rsid w:val="2F7A5EF2"/>
    <w:rsid w:val="325D3DFA"/>
    <w:rsid w:val="45C41554"/>
    <w:rsid w:val="490A0325"/>
    <w:rsid w:val="4D4168A5"/>
    <w:rsid w:val="4E1A5F34"/>
    <w:rsid w:val="4F485D60"/>
    <w:rsid w:val="533F4C1D"/>
    <w:rsid w:val="55090D36"/>
    <w:rsid w:val="5F4A7FEA"/>
    <w:rsid w:val="6A0067D8"/>
    <w:rsid w:val="6B1E1B49"/>
    <w:rsid w:val="6E5D2598"/>
    <w:rsid w:val="7DBA1955"/>
    <w:rsid w:val="7FC63F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31"/>
    <w:qFormat/>
    <w:uiPriority w:val="0"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32"/>
    <w:qFormat/>
    <w:uiPriority w:val="0"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b/>
      <w:bCs/>
      <w:sz w:val="24"/>
      <w:szCs w:val="28"/>
    </w:rPr>
  </w:style>
  <w:style w:type="paragraph" w:styleId="6">
    <w:name w:val="heading 5"/>
    <w:basedOn w:val="1"/>
    <w:next w:val="1"/>
    <w:link w:val="33"/>
    <w:unhideWhenUsed/>
    <w:qFormat/>
    <w:uiPriority w:val="0"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34"/>
    <w:unhideWhenUsed/>
    <w:qFormat/>
    <w:uiPriority w:val="0"/>
    <w:pPr>
      <w:keepNext/>
      <w:keepLines/>
      <w:numPr>
        <w:ilvl w:val="5"/>
        <w:numId w:val="1"/>
      </w:numPr>
      <w:spacing w:before="120" w:after="120" w:line="360" w:lineRule="auto"/>
      <w:outlineLvl w:val="5"/>
    </w:pPr>
    <w:rPr>
      <w:rFonts w:ascii="Cambria" w:hAnsi="Cambria"/>
      <w:b/>
      <w:bCs/>
      <w:sz w:val="24"/>
    </w:rPr>
  </w:style>
  <w:style w:type="character" w:default="1" w:styleId="25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annotation subject"/>
    <w:basedOn w:val="9"/>
    <w:next w:val="9"/>
    <w:link w:val="47"/>
    <w:unhideWhenUsed/>
    <w:qFormat/>
    <w:uiPriority w:val="99"/>
    <w:rPr>
      <w:b/>
      <w:bCs/>
    </w:rPr>
  </w:style>
  <w:style w:type="paragraph" w:styleId="9">
    <w:name w:val="annotation text"/>
    <w:basedOn w:val="1"/>
    <w:link w:val="46"/>
    <w:unhideWhenUsed/>
    <w:qFormat/>
    <w:uiPriority w:val="99"/>
    <w:pPr>
      <w:jc w:val="left"/>
    </w:pPr>
  </w:style>
  <w:style w:type="paragraph" w:styleId="10">
    <w:name w:val="toc 7"/>
    <w:basedOn w:val="1"/>
    <w:next w:val="1"/>
    <w:unhideWhenUsed/>
    <w:qFormat/>
    <w:uiPriority w:val="39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11">
    <w:name w:val="Document Map"/>
    <w:basedOn w:val="1"/>
    <w:link w:val="44"/>
    <w:unhideWhenUsed/>
    <w:qFormat/>
    <w:uiPriority w:val="99"/>
    <w:rPr>
      <w:rFonts w:ascii="宋体"/>
      <w:sz w:val="18"/>
      <w:szCs w:val="18"/>
    </w:rPr>
  </w:style>
  <w:style w:type="paragraph" w:styleId="12">
    <w:name w:val="Body Text Indent"/>
    <w:basedOn w:val="1"/>
    <w:link w:val="37"/>
    <w:qFormat/>
    <w:uiPriority w:val="0"/>
    <w:pPr>
      <w:spacing w:after="120"/>
      <w:ind w:left="420" w:leftChars="200"/>
    </w:pPr>
  </w:style>
  <w:style w:type="paragraph" w:styleId="13">
    <w:name w:val="toc 5"/>
    <w:basedOn w:val="1"/>
    <w:next w:val="1"/>
    <w:unhideWhenUsed/>
    <w:qFormat/>
    <w:uiPriority w:val="39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ind w:left="680"/>
      <w:jc w:val="left"/>
    </w:pPr>
    <w:rPr>
      <w:rFonts w:cs="Calibri"/>
      <w:iCs/>
      <w:szCs w:val="20"/>
    </w:rPr>
  </w:style>
  <w:style w:type="paragraph" w:styleId="15">
    <w:name w:val="toc 8"/>
    <w:basedOn w:val="1"/>
    <w:next w:val="1"/>
    <w:unhideWhenUsed/>
    <w:qFormat/>
    <w:uiPriority w:val="39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6">
    <w:name w:val="Balloon Text"/>
    <w:basedOn w:val="1"/>
    <w:link w:val="41"/>
    <w:unhideWhenUsed/>
    <w:qFormat/>
    <w:uiPriority w:val="99"/>
    <w:rPr>
      <w:sz w:val="18"/>
      <w:szCs w:val="18"/>
    </w:rPr>
  </w:style>
  <w:style w:type="paragraph" w:styleId="17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unhideWhenUsed/>
    <w:qFormat/>
    <w:uiPriority w:val="39"/>
    <w:pPr>
      <w:ind w:left="200" w:hanging="200" w:hangingChars="200"/>
      <w:jc w:val="left"/>
    </w:pPr>
    <w:rPr>
      <w:rFonts w:cs="Calibri"/>
      <w:bCs/>
      <w:caps/>
      <w:szCs w:val="20"/>
    </w:rPr>
  </w:style>
  <w:style w:type="paragraph" w:styleId="20">
    <w:name w:val="toc 4"/>
    <w:basedOn w:val="1"/>
    <w:next w:val="1"/>
    <w:unhideWhenUsed/>
    <w:qFormat/>
    <w:uiPriority w:val="39"/>
    <w:pPr>
      <w:ind w:left="1361"/>
      <w:jc w:val="left"/>
    </w:pPr>
    <w:rPr>
      <w:rFonts w:cs="Calibri"/>
      <w:szCs w:val="18"/>
    </w:rPr>
  </w:style>
  <w:style w:type="paragraph" w:styleId="21">
    <w:name w:val="toc 6"/>
    <w:basedOn w:val="1"/>
    <w:next w:val="1"/>
    <w:unhideWhenUsed/>
    <w:qFormat/>
    <w:uiPriority w:val="39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2">
    <w:name w:val="toc 2"/>
    <w:basedOn w:val="1"/>
    <w:next w:val="1"/>
    <w:unhideWhenUsed/>
    <w:qFormat/>
    <w:uiPriority w:val="39"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23">
    <w:name w:val="toc 9"/>
    <w:basedOn w:val="1"/>
    <w:next w:val="1"/>
    <w:unhideWhenUsed/>
    <w:qFormat/>
    <w:uiPriority w:val="39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4">
    <w:name w:val="Title"/>
    <w:basedOn w:val="1"/>
    <w:next w:val="1"/>
    <w:link w:val="43"/>
    <w:qFormat/>
    <w:uiPriority w:val="10"/>
    <w:pPr>
      <w:spacing w:before="240" w:after="60" w:line="960" w:lineRule="auto"/>
      <w:jc w:val="center"/>
    </w:pPr>
    <w:rPr>
      <w:rFonts w:ascii="Cambria" w:hAnsi="Cambria" w:eastAsia="黑体"/>
      <w:b/>
      <w:bCs/>
      <w:sz w:val="52"/>
      <w:szCs w:val="32"/>
    </w:rPr>
  </w:style>
  <w:style w:type="character" w:styleId="26">
    <w:name w:val="Hyperlink"/>
    <w:basedOn w:val="25"/>
    <w:unhideWhenUsed/>
    <w:qFormat/>
    <w:uiPriority w:val="99"/>
    <w:rPr>
      <w:color w:val="0000FF"/>
      <w:u w:val="single"/>
    </w:rPr>
  </w:style>
  <w:style w:type="character" w:styleId="27">
    <w:name w:val="annotation reference"/>
    <w:basedOn w:val="25"/>
    <w:unhideWhenUsed/>
    <w:qFormat/>
    <w:uiPriority w:val="99"/>
    <w:rPr>
      <w:sz w:val="21"/>
      <w:szCs w:val="21"/>
    </w:rPr>
  </w:style>
  <w:style w:type="character" w:customStyle="1" w:styleId="29">
    <w:name w:val="标题 1 Char"/>
    <w:basedOn w:val="25"/>
    <w:link w:val="2"/>
    <w:qFormat/>
    <w:uiPriority w:val="0"/>
    <w:rPr>
      <w:rFonts w:ascii="Times New Roman" w:hAnsi="Times New Roman" w:eastAsia="宋体" w:cs="Times New Roman"/>
      <w:b/>
      <w:bCs/>
      <w:kern w:val="44"/>
      <w:sz w:val="32"/>
      <w:szCs w:val="28"/>
    </w:rPr>
  </w:style>
  <w:style w:type="character" w:customStyle="1" w:styleId="30">
    <w:name w:val="标题 2 Char"/>
    <w:basedOn w:val="25"/>
    <w:link w:val="3"/>
    <w:qFormat/>
    <w:uiPriority w:val="0"/>
    <w:rPr>
      <w:rFonts w:ascii="Times New Roman" w:hAnsi="Times New Roman" w:eastAsia="宋体" w:cs="Times New Roman"/>
      <w:b/>
      <w:bCs/>
      <w:sz w:val="30"/>
      <w:szCs w:val="32"/>
    </w:rPr>
  </w:style>
  <w:style w:type="character" w:customStyle="1" w:styleId="31">
    <w:name w:val="标题 3 Char"/>
    <w:basedOn w:val="25"/>
    <w:link w:val="4"/>
    <w:qFormat/>
    <w:uiPriority w:val="0"/>
    <w:rPr>
      <w:rFonts w:ascii="Times New Roman" w:hAnsi="Times New Roman" w:eastAsia="宋体" w:cs="Times New Roman"/>
      <w:b/>
      <w:bCs/>
      <w:sz w:val="28"/>
      <w:szCs w:val="18"/>
    </w:rPr>
  </w:style>
  <w:style w:type="character" w:customStyle="1" w:styleId="32">
    <w:name w:val="标题 4 Char"/>
    <w:basedOn w:val="25"/>
    <w:link w:val="5"/>
    <w:qFormat/>
    <w:uiPriority w:val="0"/>
    <w:rPr>
      <w:rFonts w:ascii="Times New Roman" w:hAnsi="Times New Roman" w:eastAsia="宋体" w:cs="Times New Roman"/>
      <w:b/>
      <w:bCs/>
      <w:sz w:val="24"/>
      <w:szCs w:val="28"/>
    </w:rPr>
  </w:style>
  <w:style w:type="character" w:customStyle="1" w:styleId="33">
    <w:name w:val="标题 5 Char"/>
    <w:basedOn w:val="25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34">
    <w:name w:val="标题 6 Char"/>
    <w:basedOn w:val="25"/>
    <w:link w:val="7"/>
    <w:qFormat/>
    <w:uiPriority w:val="0"/>
    <w:rPr>
      <w:rFonts w:ascii="Cambria" w:hAnsi="Cambria" w:eastAsia="宋体" w:cs="Times New Roman"/>
      <w:b/>
      <w:bCs/>
      <w:sz w:val="24"/>
      <w:szCs w:val="24"/>
    </w:rPr>
  </w:style>
  <w:style w:type="character" w:customStyle="1" w:styleId="35">
    <w:name w:val="页眉 Char"/>
    <w:basedOn w:val="25"/>
    <w:link w:val="18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6">
    <w:name w:val="页脚 Char"/>
    <w:basedOn w:val="25"/>
    <w:link w:val="1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37">
    <w:name w:val="正文文本缩进 Char"/>
    <w:basedOn w:val="25"/>
    <w:link w:val="12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标题6"/>
    <w:basedOn w:val="7"/>
    <w:link w:val="40"/>
    <w:qFormat/>
    <w:uiPriority w:val="0"/>
    <w:pPr>
      <w:ind w:left="0" w:firstLine="0"/>
    </w:pPr>
    <w:rPr>
      <w:rFonts w:ascii="Times New Roman" w:hAnsi="Times New Roman"/>
      <w:b w:val="0"/>
      <w:sz w:val="21"/>
    </w:rPr>
  </w:style>
  <w:style w:type="paragraph" w:customStyle="1" w:styleId="39">
    <w:name w:val="列出段落1"/>
    <w:basedOn w:val="1"/>
    <w:qFormat/>
    <w:uiPriority w:val="34"/>
    <w:pPr>
      <w:ind w:firstLine="420" w:firstLineChars="200"/>
    </w:pPr>
  </w:style>
  <w:style w:type="character" w:customStyle="1" w:styleId="40">
    <w:name w:val="标题6 Char"/>
    <w:basedOn w:val="34"/>
    <w:link w:val="38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41">
    <w:name w:val="批注框文本 Char"/>
    <w:basedOn w:val="25"/>
    <w:link w:val="16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2">
    <w:name w:val="TOC 标题1"/>
    <w:basedOn w:val="2"/>
    <w:next w:val="1"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43">
    <w:name w:val="标题 Char"/>
    <w:basedOn w:val="25"/>
    <w:link w:val="24"/>
    <w:qFormat/>
    <w:uiPriority w:val="10"/>
    <w:rPr>
      <w:rFonts w:ascii="Cambria" w:hAnsi="Cambria" w:eastAsia="黑体" w:cs="Times New Roman"/>
      <w:b/>
      <w:bCs/>
      <w:sz w:val="52"/>
      <w:szCs w:val="32"/>
    </w:rPr>
  </w:style>
  <w:style w:type="character" w:customStyle="1" w:styleId="44">
    <w:name w:val="文档结构图 Char"/>
    <w:basedOn w:val="25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paragraph" w:customStyle="1" w:styleId="45">
    <w:name w:val="Indent Normal"/>
    <w:basedOn w:val="1"/>
    <w:qFormat/>
    <w:uiPriority w:val="0"/>
    <w:pPr>
      <w:spacing w:line="360" w:lineRule="auto"/>
      <w:ind w:firstLine="150" w:firstLineChars="150"/>
    </w:pPr>
    <w:rPr>
      <w:sz w:val="24"/>
    </w:rPr>
  </w:style>
  <w:style w:type="character" w:customStyle="1" w:styleId="46">
    <w:name w:val="批注文字 Char"/>
    <w:basedOn w:val="25"/>
    <w:link w:val="9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47">
    <w:name w:val="批注主题 Char"/>
    <w:basedOn w:val="46"/>
    <w:link w:val="8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paragraph" w:customStyle="1" w:styleId="48">
    <w:name w:val="样式1"/>
    <w:basedOn w:val="1"/>
    <w:link w:val="49"/>
    <w:qFormat/>
    <w:uiPriority w:val="0"/>
    <w:pPr>
      <w:spacing w:line="300" w:lineRule="auto"/>
      <w:ind w:firstLine="480" w:firstLineChars="200"/>
      <w:jc w:val="left"/>
    </w:pPr>
    <w:rPr>
      <w:sz w:val="24"/>
    </w:rPr>
  </w:style>
  <w:style w:type="character" w:customStyle="1" w:styleId="49">
    <w:name w:val="样式1 Char"/>
    <w:link w:val="48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50">
    <w:name w:val="无间隔1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2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1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theme" Target="theme/theme1.xml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footer" Target="footer2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header" Target="header2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9" Type="http://schemas.openxmlformats.org/officeDocument/2006/relationships/fontTable" Target="fontTable.xml"/><Relationship Id="rId108" Type="http://schemas.openxmlformats.org/officeDocument/2006/relationships/customXml" Target="../customXml/item2.xml"/><Relationship Id="rId107" Type="http://schemas.openxmlformats.org/officeDocument/2006/relationships/numbering" Target="numbering.xml"/><Relationship Id="rId106" Type="http://schemas.openxmlformats.org/officeDocument/2006/relationships/customXml" Target="../customXml/item1.xml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6A6BD4-3822-4FFA-9E8D-0B38321F498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1268</Words>
  <Characters>7229</Characters>
  <Lines>60</Lines>
  <Paragraphs>16</Paragraphs>
  <TotalTime>0</TotalTime>
  <ScaleCrop>false</ScaleCrop>
  <LinksUpToDate>false</LinksUpToDate>
  <CharactersWithSpaces>8481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2014-05-06T06:50:00Z</dcterms:created>
  <dc:creator>NTKO</dc:creator>
  <cp:lastModifiedBy>系统管理员</cp:lastModifiedBy>
  <dcterms:modified xsi:type="dcterms:W3CDTF">2018-04-02T03:04:55Z</dcterms:modified>
  <cp:revision>168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