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政府采购管理及网上交易软件</w:t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供应商操作手册</w:t>
      </w:r>
    </w:p>
    <w:p>
      <w:pPr>
        <w:widowControl/>
        <w:spacing w:line="360" w:lineRule="auto"/>
        <w:jc w:val="center"/>
        <w:rPr>
          <w:sz w:val="24"/>
        </w:rPr>
      </w:pPr>
      <w:r>
        <w:rPr>
          <w:rFonts w:eastAsia="黑体"/>
          <w:b/>
          <w:szCs w:val="21"/>
        </w:rPr>
        <w:br w:type="page"/>
      </w:r>
      <w:r>
        <w:rPr>
          <w:b/>
          <w:spacing w:val="200"/>
          <w:sz w:val="24"/>
        </w:rPr>
        <w:t>目录</w:t>
      </w:r>
    </w:p>
    <w:p>
      <w:pPr>
        <w:pStyle w:val="13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TOC \o "1-6" \h \z \u </w:instrText>
      </w:r>
      <w:r>
        <w:rPr>
          <w:bCs w:val="0"/>
          <w:caps w:val="0"/>
        </w:rPr>
        <w:fldChar w:fldCharType="separate"/>
      </w:r>
      <w:r>
        <w:fldChar w:fldCharType="begin"/>
      </w:r>
      <w:r>
        <w:instrText xml:space="preserve"> HYPERLINK \l "_Toc475977493" </w:instrText>
      </w:r>
      <w:r>
        <w:fldChar w:fldCharType="separate"/>
      </w:r>
      <w:r>
        <w:rPr>
          <w:rStyle w:val="16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_Toc475977493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"_Toc475977494" </w:instrText>
      </w:r>
      <w:r>
        <w:fldChar w:fldCharType="separate"/>
      </w:r>
      <w:r>
        <w:rPr>
          <w:rStyle w:val="16"/>
          <w:rFonts w:hint="eastAsia"/>
        </w:rPr>
        <w:t>1.1、 驱动安装说明</w:t>
      </w:r>
      <w:r>
        <w:tab/>
      </w:r>
      <w:r>
        <w:fldChar w:fldCharType="begin"/>
      </w:r>
      <w:r>
        <w:instrText xml:space="preserve"> PAGEREF _Toc475977494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"_Toc475977495" </w:instrText>
      </w:r>
      <w:r>
        <w:fldChar w:fldCharType="separate"/>
      </w:r>
      <w:r>
        <w:rPr>
          <w:rStyle w:val="16"/>
          <w:rFonts w:hint="eastAsia"/>
        </w:rPr>
        <w:t>1.1.1、 安装驱动程序</w:t>
      </w:r>
      <w:r>
        <w:tab/>
      </w:r>
      <w:r>
        <w:fldChar w:fldCharType="begin"/>
      </w:r>
      <w:r>
        <w:instrText xml:space="preserve"> PAGEREF _Toc475977495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"_Toc475977496" </w:instrText>
      </w:r>
      <w:r>
        <w:fldChar w:fldCharType="separate"/>
      </w:r>
      <w:r>
        <w:rPr>
          <w:rStyle w:val="16"/>
          <w:rFonts w:hint="eastAsia"/>
        </w:rPr>
        <w:t>1.1.2、 安装</w:t>
      </w:r>
      <w:r>
        <w:rPr>
          <w:rStyle w:val="16"/>
        </w:rPr>
        <w:t>IC</w:t>
      </w:r>
      <w:r>
        <w:rPr>
          <w:rStyle w:val="16"/>
          <w:rFonts w:hint="eastAsia"/>
        </w:rPr>
        <w:t>卡读卡驱动</w:t>
      </w:r>
      <w:r>
        <w:tab/>
      </w:r>
      <w:r>
        <w:fldChar w:fldCharType="begin"/>
      </w:r>
      <w:r>
        <w:instrText xml:space="preserve"> PAGEREF _Toc475977496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"_Toc475977497" </w:instrText>
      </w:r>
      <w:r>
        <w:fldChar w:fldCharType="separate"/>
      </w:r>
      <w:r>
        <w:rPr>
          <w:rStyle w:val="16"/>
          <w:rFonts w:hint="eastAsia"/>
        </w:rPr>
        <w:t>1.2、 证书工具</w:t>
      </w:r>
      <w:r>
        <w:tab/>
      </w:r>
      <w:r>
        <w:fldChar w:fldCharType="begin"/>
      </w:r>
      <w:r>
        <w:instrText xml:space="preserve"> PAGEREF _Toc475977497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"_Toc475977498" </w:instrText>
      </w:r>
      <w:r>
        <w:fldChar w:fldCharType="separate"/>
      </w:r>
      <w:r>
        <w:rPr>
          <w:rStyle w:val="16"/>
          <w:rFonts w:hint="eastAsia"/>
        </w:rPr>
        <w:t>1.2.1、 修改口令</w:t>
      </w:r>
      <w:r>
        <w:tab/>
      </w:r>
      <w:r>
        <w:fldChar w:fldCharType="begin"/>
      </w:r>
      <w:r>
        <w:instrText xml:space="preserve"> PAGEREF _Toc475977498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"_Toc475977499" </w:instrText>
      </w:r>
      <w:r>
        <w:fldChar w:fldCharType="separate"/>
      </w:r>
      <w:r>
        <w:rPr>
          <w:rStyle w:val="16"/>
          <w:rFonts w:hint="eastAsia"/>
        </w:rPr>
        <w:t>1.3、 检测工具</w:t>
      </w:r>
      <w:r>
        <w:tab/>
      </w:r>
      <w:r>
        <w:fldChar w:fldCharType="begin"/>
      </w:r>
      <w:r>
        <w:instrText xml:space="preserve"> PAGEREF _Toc475977499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"_Toc475977500" </w:instrText>
      </w:r>
      <w:r>
        <w:fldChar w:fldCharType="separate"/>
      </w:r>
      <w:r>
        <w:rPr>
          <w:rStyle w:val="16"/>
          <w:rFonts w:hint="eastAsia"/>
        </w:rPr>
        <w:t>1.3.1、 启动检测工具</w:t>
      </w:r>
      <w:r>
        <w:tab/>
      </w:r>
      <w:r>
        <w:fldChar w:fldCharType="begin"/>
      </w:r>
      <w:r>
        <w:instrText xml:space="preserve"> PAGEREF _Toc475977500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"_Toc475977501" </w:instrText>
      </w:r>
      <w:r>
        <w:fldChar w:fldCharType="separate"/>
      </w:r>
      <w:r>
        <w:rPr>
          <w:rStyle w:val="16"/>
          <w:rFonts w:hint="eastAsia"/>
        </w:rPr>
        <w:t>1.3.2、 系统检测</w:t>
      </w:r>
      <w:r>
        <w:tab/>
      </w:r>
      <w:r>
        <w:fldChar w:fldCharType="begin"/>
      </w:r>
      <w:r>
        <w:instrText xml:space="preserve"> PAGEREF _Toc475977501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"_Toc475977502" </w:instrText>
      </w:r>
      <w:r>
        <w:fldChar w:fldCharType="separate"/>
      </w:r>
      <w:r>
        <w:rPr>
          <w:rStyle w:val="16"/>
          <w:rFonts w:hint="eastAsia"/>
        </w:rPr>
        <w:t>1.3.3、 控件检测</w:t>
      </w:r>
      <w:r>
        <w:tab/>
      </w:r>
      <w:r>
        <w:fldChar w:fldCharType="begin"/>
      </w:r>
      <w:r>
        <w:instrText xml:space="preserve"> PAGEREF _Toc475977502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"_Toc475977503" </w:instrText>
      </w:r>
      <w:r>
        <w:fldChar w:fldCharType="separate"/>
      </w:r>
      <w:r>
        <w:rPr>
          <w:rStyle w:val="16"/>
          <w:rFonts w:hint="eastAsia"/>
        </w:rPr>
        <w:t>1.3.4、 证书检测</w:t>
      </w:r>
      <w:r>
        <w:tab/>
      </w:r>
      <w:r>
        <w:fldChar w:fldCharType="begin"/>
      </w:r>
      <w:r>
        <w:instrText xml:space="preserve"> PAGEREF _Toc475977503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"_Toc475977504" </w:instrText>
      </w:r>
      <w:r>
        <w:fldChar w:fldCharType="separate"/>
      </w:r>
      <w:r>
        <w:rPr>
          <w:rStyle w:val="16"/>
          <w:rFonts w:hint="eastAsia"/>
        </w:rPr>
        <w:t>1.3.5、 签章检测</w:t>
      </w:r>
      <w:r>
        <w:tab/>
      </w:r>
      <w:r>
        <w:fldChar w:fldCharType="begin"/>
      </w:r>
      <w:r>
        <w:instrText xml:space="preserve"> PAGEREF _Toc475977504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"_Toc475977505" </w:instrText>
      </w:r>
      <w:r>
        <w:fldChar w:fldCharType="separate"/>
      </w:r>
      <w:r>
        <w:rPr>
          <w:rStyle w:val="16"/>
          <w:rFonts w:hint="eastAsia"/>
        </w:rPr>
        <w:t>1.4、 浏览器配置</w:t>
      </w:r>
      <w:r>
        <w:tab/>
      </w:r>
      <w:r>
        <w:fldChar w:fldCharType="begin"/>
      </w:r>
      <w:r>
        <w:instrText xml:space="preserve"> PAGEREF _Toc475977505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"_Toc475977506" </w:instrText>
      </w:r>
      <w:r>
        <w:fldChar w:fldCharType="separate"/>
      </w:r>
      <w:r>
        <w:rPr>
          <w:rStyle w:val="16"/>
          <w:rFonts w:hint="eastAsia"/>
        </w:rPr>
        <w:t>1.4.1、</w:t>
      </w:r>
      <w:r>
        <w:rPr>
          <w:rStyle w:val="16"/>
        </w:rPr>
        <w:t xml:space="preserve"> Internet</w:t>
      </w:r>
      <w:r>
        <w:rPr>
          <w:rStyle w:val="16"/>
          <w:rFonts w:hint="eastAsia"/>
        </w:rPr>
        <w:t>选项</w:t>
      </w:r>
      <w:r>
        <w:tab/>
      </w:r>
      <w:r>
        <w:fldChar w:fldCharType="begin"/>
      </w:r>
      <w:r>
        <w:instrText xml:space="preserve"> PAGEREF _Toc475977506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"_Toc475977507" </w:instrText>
      </w:r>
      <w:r>
        <w:fldChar w:fldCharType="separate"/>
      </w:r>
      <w:r>
        <w:rPr>
          <w:rStyle w:val="16"/>
          <w:rFonts w:hint="eastAsia"/>
        </w:rPr>
        <w:t>1.4.2、 关闭拦截工具</w:t>
      </w:r>
      <w:r>
        <w:tab/>
      </w:r>
      <w:r>
        <w:fldChar w:fldCharType="begin"/>
      </w:r>
      <w:r>
        <w:instrText xml:space="preserve"> PAGEREF _Toc475977507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"_Toc475977508" </w:instrText>
      </w:r>
      <w:r>
        <w:fldChar w:fldCharType="separate"/>
      </w:r>
      <w:r>
        <w:rPr>
          <w:rStyle w:val="16"/>
          <w:rFonts w:hint="eastAsia"/>
        </w:rPr>
        <w:t>二、 采购业务</w:t>
      </w:r>
      <w:r>
        <w:tab/>
      </w:r>
      <w:r>
        <w:fldChar w:fldCharType="begin"/>
      </w:r>
      <w:r>
        <w:instrText xml:space="preserve"> PAGEREF _Toc475977508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"_Toc475977509" </w:instrText>
      </w:r>
      <w:r>
        <w:fldChar w:fldCharType="separate"/>
      </w:r>
      <w:r>
        <w:rPr>
          <w:rStyle w:val="16"/>
          <w:rFonts w:hint="eastAsia"/>
        </w:rPr>
        <w:t>2.1、 填写投标信息</w:t>
      </w:r>
      <w:r>
        <w:tab/>
      </w:r>
      <w:r>
        <w:fldChar w:fldCharType="begin"/>
      </w:r>
      <w:r>
        <w:instrText xml:space="preserve"> PAGEREF _Toc475977509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"_Toc475977510" </w:instrText>
      </w:r>
      <w:r>
        <w:fldChar w:fldCharType="separate"/>
      </w:r>
      <w:r>
        <w:rPr>
          <w:rStyle w:val="16"/>
          <w:rFonts w:hint="eastAsia"/>
        </w:rPr>
        <w:t>2.2、 交易文件下载</w:t>
      </w:r>
      <w:r>
        <w:tab/>
      </w:r>
      <w:r>
        <w:fldChar w:fldCharType="begin"/>
      </w:r>
      <w:r>
        <w:instrText xml:space="preserve"> PAGEREF _Toc475977510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"_Toc475977511" </w:instrText>
      </w:r>
      <w:r>
        <w:fldChar w:fldCharType="separate"/>
      </w:r>
      <w:r>
        <w:rPr>
          <w:rStyle w:val="16"/>
          <w:rFonts w:hint="eastAsia"/>
        </w:rPr>
        <w:t>2.3、 网上提问</w:t>
      </w:r>
      <w:r>
        <w:tab/>
      </w:r>
      <w:r>
        <w:fldChar w:fldCharType="begin"/>
      </w:r>
      <w:r>
        <w:instrText xml:space="preserve"> PAGEREF _Toc475977511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"_Toc475977512" </w:instrText>
      </w:r>
      <w:r>
        <w:fldChar w:fldCharType="separate"/>
      </w:r>
      <w:r>
        <w:rPr>
          <w:rStyle w:val="16"/>
          <w:rFonts w:hint="eastAsia"/>
        </w:rPr>
        <w:t>2.4、 答疑文件下载</w:t>
      </w:r>
      <w:r>
        <w:tab/>
      </w:r>
      <w:r>
        <w:fldChar w:fldCharType="begin"/>
      </w:r>
      <w:r>
        <w:instrText xml:space="preserve"> PAGEREF _Toc475977512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"_Toc475977513" </w:instrText>
      </w:r>
      <w:r>
        <w:fldChar w:fldCharType="separate"/>
      </w:r>
      <w:r>
        <w:rPr>
          <w:rStyle w:val="16"/>
          <w:rFonts w:hint="eastAsia"/>
        </w:rPr>
        <w:t>2.5、 上传响应文件</w:t>
      </w:r>
      <w:r>
        <w:tab/>
      </w:r>
      <w:r>
        <w:fldChar w:fldCharType="begin"/>
      </w:r>
      <w:r>
        <w:instrText xml:space="preserve"> PAGEREF _Toc475977513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"_Toc475977514" </w:instrText>
      </w:r>
      <w:r>
        <w:fldChar w:fldCharType="separate"/>
      </w:r>
      <w:r>
        <w:rPr>
          <w:rStyle w:val="16"/>
          <w:rFonts w:hint="eastAsia"/>
        </w:rPr>
        <w:t>2.6、 开标签到解密</w:t>
      </w:r>
      <w:r>
        <w:tab/>
      </w:r>
      <w:r>
        <w:fldChar w:fldCharType="begin"/>
      </w:r>
      <w:r>
        <w:instrText xml:space="preserve"> PAGEREF _Toc475977514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"_Toc475977515" </w:instrText>
      </w:r>
      <w:r>
        <w:fldChar w:fldCharType="separate"/>
      </w:r>
      <w:r>
        <w:rPr>
          <w:rStyle w:val="16"/>
          <w:rFonts w:hint="eastAsia"/>
        </w:rPr>
        <w:t>2.7、 澄清答复</w:t>
      </w:r>
      <w:r>
        <w:tab/>
      </w:r>
      <w:r>
        <w:fldChar w:fldCharType="begin"/>
      </w:r>
      <w:r>
        <w:instrText xml:space="preserve"> PAGEREF _Toc475977515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"_Toc475977516" </w:instrText>
      </w:r>
      <w:r>
        <w:fldChar w:fldCharType="separate"/>
      </w:r>
      <w:r>
        <w:rPr>
          <w:rStyle w:val="16"/>
          <w:rFonts w:hint="eastAsia"/>
        </w:rPr>
        <w:t>2.8、 报价参与</w:t>
      </w:r>
      <w:r>
        <w:tab/>
      </w:r>
      <w:r>
        <w:fldChar w:fldCharType="begin"/>
      </w:r>
      <w:r>
        <w:instrText xml:space="preserve"> PAGEREF _Toc475977516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rPr>
          <w:rFonts w:cs="Calibri"/>
          <w:bCs/>
          <w:caps/>
          <w:szCs w:val="20"/>
        </w:rPr>
      </w:pPr>
      <w:r>
        <w:rPr>
          <w:rFonts w:cs="Calibri"/>
          <w:bCs/>
          <w:caps/>
          <w:szCs w:val="20"/>
        </w:rPr>
        <w:fldChar w:fldCharType="end"/>
      </w: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>
      <w:pPr>
        <w:rPr>
          <w:rFonts w:cs="Calibri"/>
          <w:bCs/>
          <w:caps/>
          <w:szCs w:val="20"/>
        </w:rPr>
      </w:pPr>
    </w:p>
    <w:p/>
    <w:p/>
    <w:p/>
    <w:p/>
    <w:p/>
    <w:p/>
    <w:p>
      <w:pPr>
        <w:pStyle w:val="30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17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843"/>
        <w:gridCol w:w="1134"/>
        <w:gridCol w:w="275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27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  <w:jc w:val="center"/>
            </w:pPr>
            <w:r>
              <w:t>7.0.</w:t>
            </w:r>
            <w:r>
              <w:rPr>
                <w:rFonts w:hint="eastAsia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2017-2-27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郭豪</w:t>
            </w:r>
          </w:p>
        </w:tc>
        <w:tc>
          <w:tcPr>
            <w:tcW w:w="2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在6.0.3版本根据新版本7.0更新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7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bookmarkStart w:id="0" w:name="_Toc346183627"/>
      <w:bookmarkStart w:id="1" w:name="_Toc346701723"/>
      <w:bookmarkStart w:id="2" w:name="_Toc475977493"/>
      <w:r>
        <w:t>系统前期准备</w:t>
      </w:r>
      <w:bookmarkEnd w:id="0"/>
      <w:bookmarkEnd w:id="1"/>
      <w:bookmarkEnd w:id="2"/>
    </w:p>
    <w:p>
      <w:pPr>
        <w:pStyle w:val="3"/>
      </w:pPr>
      <w:bookmarkStart w:id="3" w:name="_Toc346183628"/>
      <w:bookmarkStart w:id="4" w:name="_Toc475977494"/>
      <w:bookmarkStart w:id="5" w:name="_Toc346701724"/>
      <w:r>
        <w:t>驱动安装说明</w:t>
      </w:r>
      <w:bookmarkEnd w:id="3"/>
      <w:bookmarkEnd w:id="4"/>
      <w:bookmarkEnd w:id="5"/>
    </w:p>
    <w:p>
      <w:pPr>
        <w:pStyle w:val="4"/>
      </w:pPr>
      <w:bookmarkStart w:id="6" w:name="_Toc346701725"/>
      <w:bookmarkStart w:id="7" w:name="_Toc475977495"/>
      <w:bookmarkStart w:id="8" w:name="_Toc346183629"/>
      <w:r>
        <w:t>安装驱动程序</w:t>
      </w:r>
      <w:bookmarkEnd w:id="6"/>
      <w:bookmarkEnd w:id="7"/>
      <w:bookmarkEnd w:id="8"/>
    </w:p>
    <w:p>
      <w:pPr>
        <w:spacing w:line="360" w:lineRule="auto"/>
        <w:ind w:firstLine="420" w:firstLineChars="200"/>
        <w:jc w:val="left"/>
      </w:pPr>
      <w:r>
        <w:t>1、双击安装程序</w:t>
      </w:r>
      <w:r>
        <w:drawing>
          <wp:inline distT="0" distB="0" distL="0" distR="0">
            <wp:extent cx="485775" cy="50482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，进入安装页面。如下图</w:t>
      </w:r>
      <w:r>
        <w:rPr>
          <w:rFonts w:hint="eastAsia"/>
        </w:rPr>
        <w:t>：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495675" cy="27241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2、点击下一步，进入协议页面。如下图</w:t>
      </w:r>
      <w:r>
        <w:rPr>
          <w:rFonts w:hint="eastAsia"/>
        </w:rPr>
        <w:t>：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3457575" cy="26670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3、选择同意后，点下一步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209925" cy="238125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4、输入用户信息后，点击下一步。如下图</w:t>
      </w:r>
      <w:r>
        <w:rPr>
          <w:rFonts w:hint="eastAsia"/>
        </w:rPr>
        <w:t>：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  <w:sz w:val="21"/>
          <w:szCs w:val="21"/>
        </w:rPr>
        <w:drawing>
          <wp:inline distT="0" distB="0" distL="0" distR="0">
            <wp:extent cx="3105150" cy="240982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5、选择需要安装的目录，之后继续点击下一步。如下图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267075" cy="25431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6、设置快捷方式文件夹，之后继续点击下一步。如下图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009900" cy="23145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7、确认无误后，继续点击下一步。如下图</w:t>
      </w:r>
      <w:r>
        <w:rPr>
          <w:rFonts w:hint="eastAsia"/>
        </w:rPr>
        <w:t>：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2962275" cy="2362200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8、点击下一步，系统自动读取安装参数。如下图</w:t>
      </w:r>
      <w:r>
        <w:rPr>
          <w:rFonts w:hint="eastAsia"/>
        </w:rPr>
        <w:t>：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3057525" cy="24479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9、继续点击下一步，进行安装驱动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838450" cy="227647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10</w:t>
      </w:r>
      <w:r>
        <w:t>、点击完成，系统自动执行命令。如下图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5276850" cy="6858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456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11</w:t>
      </w:r>
      <w:r>
        <w:t>、运行完毕后，驱动安装成功。如下图</w:t>
      </w:r>
      <w:r>
        <w:rPr>
          <w:rFonts w:hint="eastAsia"/>
        </w:rPr>
        <w:t>：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2943225" cy="22764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line="360" w:lineRule="auto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9" w:name="_Toc346183630"/>
      <w:bookmarkStart w:id="10" w:name="_Toc475977496"/>
      <w:bookmarkStart w:id="11" w:name="_Toc346701726"/>
      <w:r>
        <w:t>安装IC卡读卡驱动</w:t>
      </w:r>
      <w:bookmarkEnd w:id="9"/>
      <w:bookmarkEnd w:id="10"/>
      <w:bookmarkEnd w:id="11"/>
    </w:p>
    <w:p>
      <w:pPr>
        <w:spacing w:line="360" w:lineRule="auto"/>
        <w:ind w:firstLine="420" w:firstLineChars="200"/>
        <w:jc w:val="left"/>
      </w:pPr>
      <w:r>
        <w:t>如果您需要安装IC卡读卡器，请在程序中找到新点驱动程序（标准版）IC卡读卡驱动安装程序。</w:t>
      </w:r>
      <w:r>
        <w:drawing>
          <wp:inline distT="0" distB="0" distL="0" distR="0">
            <wp:extent cx="1428750" cy="19050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line="360" w:lineRule="auto"/>
        <w:ind w:firstLine="0" w:firstLineChars="0"/>
        <w:rPr>
          <w:b/>
          <w:spacing w:val="4"/>
        </w:rPr>
      </w:pPr>
    </w:p>
    <w:p>
      <w:pPr>
        <w:pStyle w:val="3"/>
      </w:pPr>
      <w:bookmarkStart w:id="12" w:name="_Toc346183631"/>
      <w:bookmarkStart w:id="13" w:name="_Toc475977497"/>
      <w:bookmarkStart w:id="14" w:name="_Toc346701727"/>
      <w:r>
        <w:t>证书工具</w:t>
      </w:r>
      <w:bookmarkEnd w:id="12"/>
      <w:bookmarkEnd w:id="13"/>
      <w:bookmarkEnd w:id="14"/>
    </w:p>
    <w:p>
      <w:pPr>
        <w:pStyle w:val="4"/>
        <w:ind w:left="1072" w:hanging="1072"/>
      </w:pPr>
      <w:bookmarkStart w:id="15" w:name="_Toc475977498"/>
      <w:bookmarkStart w:id="16" w:name="_Toc346701728"/>
      <w:bookmarkStart w:id="17" w:name="_Toc346183632"/>
      <w:r>
        <w:t>修改口令</w:t>
      </w:r>
      <w:bookmarkEnd w:id="15"/>
      <w:bookmarkEnd w:id="16"/>
      <w:bookmarkEnd w:id="17"/>
    </w:p>
    <w:p>
      <w:pPr>
        <w:spacing w:line="360" w:lineRule="auto"/>
        <w:ind w:firstLine="420" w:firstLineChars="200"/>
        <w:jc w:val="left"/>
      </w:pPr>
      <w:r>
        <w:t>用户可以点击桌面上面证书管理工具，进入证书管理界面。</w:t>
      </w:r>
    </w:p>
    <w:p>
      <w:pPr>
        <w:spacing w:line="360" w:lineRule="auto"/>
        <w:ind w:firstLine="420" w:firstLineChars="200"/>
        <w:jc w:val="left"/>
      </w:pPr>
      <w:r>
        <w:t>口令相当于证书Key的密码，需要妥善保管，新发出的证书Key的密码是111111（6个1），为了您的证书的安全，请立即修改密码。如下图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800475" cy="325755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26"/>
        <w:spacing w:line="360" w:lineRule="auto"/>
        <w:ind w:firstLine="0" w:firstLineChars="0"/>
        <w:rPr>
          <w:b/>
          <w:spacing w:val="4"/>
        </w:rPr>
      </w:pPr>
    </w:p>
    <w:p>
      <w:pPr>
        <w:pStyle w:val="3"/>
      </w:pPr>
      <w:bookmarkStart w:id="18" w:name="_Toc346183633"/>
      <w:bookmarkStart w:id="19" w:name="_Toc475977499"/>
      <w:bookmarkStart w:id="20" w:name="_Toc346701729"/>
      <w:r>
        <w:t>检测工具</w:t>
      </w:r>
      <w:bookmarkEnd w:id="18"/>
      <w:bookmarkEnd w:id="19"/>
      <w:bookmarkEnd w:id="20"/>
    </w:p>
    <w:p>
      <w:pPr>
        <w:pStyle w:val="4"/>
        <w:ind w:left="1072" w:hanging="1072"/>
      </w:pPr>
      <w:bookmarkStart w:id="21" w:name="_Toc346701730"/>
      <w:bookmarkStart w:id="22" w:name="_Toc346183634"/>
      <w:bookmarkStart w:id="23" w:name="_Toc475977500"/>
      <w:r>
        <w:t>启动检测工具</w:t>
      </w:r>
      <w:bookmarkEnd w:id="21"/>
      <w:bookmarkEnd w:id="22"/>
      <w:bookmarkEnd w:id="23"/>
    </w:p>
    <w:p>
      <w:pPr>
        <w:spacing w:line="360" w:lineRule="auto"/>
        <w:ind w:firstLine="420" w:firstLineChars="200"/>
        <w:jc w:val="left"/>
      </w:pPr>
      <w:r>
        <w:t>用户可以点击桌面上的新点检测工具图标来启动检测工具。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790575" cy="93345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line="360" w:lineRule="auto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24" w:name="_Toc346701731"/>
      <w:bookmarkStart w:id="25" w:name="_Toc346183635"/>
      <w:bookmarkStart w:id="26" w:name="_Toc475977501"/>
      <w:r>
        <w:t>系统检测</w:t>
      </w:r>
      <w:bookmarkEnd w:id="24"/>
      <w:bookmarkEnd w:id="25"/>
      <w:bookmarkEnd w:id="26"/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76850" cy="541020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该页面主要是进行可信任站点的设置。</w:t>
      </w:r>
    </w:p>
    <w:p>
      <w:pPr>
        <w:spacing w:line="360" w:lineRule="auto"/>
        <w:ind w:firstLine="420" w:firstLineChars="200"/>
        <w:jc w:val="left"/>
      </w:pPr>
      <w:r>
        <w:t>如果显示都是“已加入”，就证明已经设置成功。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57800" cy="1219200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367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如果没有设置成功，请点击加入可信站点按钮</w:t>
      </w:r>
      <w:r>
        <w:drawing>
          <wp:inline distT="0" distB="0" distL="0" distR="0">
            <wp:extent cx="1333500" cy="4762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即可。</w:t>
      </w:r>
    </w:p>
    <w:p>
      <w:pPr>
        <w:spacing w:line="360" w:lineRule="auto"/>
        <w:ind w:firstLine="420"/>
        <w:rPr>
          <w:spacing w:val="4"/>
        </w:rPr>
      </w:pPr>
    </w:p>
    <w:p>
      <w:pPr>
        <w:pStyle w:val="4"/>
        <w:ind w:left="1072" w:hanging="1072"/>
      </w:pPr>
      <w:bookmarkStart w:id="27" w:name="_Toc346701732"/>
      <w:bookmarkStart w:id="28" w:name="_Toc475977502"/>
      <w:bookmarkStart w:id="29" w:name="_Toc346183636"/>
      <w:r>
        <w:t>控件检测</w:t>
      </w:r>
      <w:bookmarkEnd w:id="27"/>
      <w:bookmarkEnd w:id="28"/>
      <w:bookmarkEnd w:id="29"/>
    </w:p>
    <w:p>
      <w:pPr>
        <w:spacing w:line="360" w:lineRule="auto"/>
        <w:jc w:val="center"/>
      </w:pPr>
      <w:r>
        <w:drawing>
          <wp:inline distT="0" distB="0" distL="0" distR="0">
            <wp:extent cx="5276850" cy="4686300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如果以上都是打勾，系统所需要控件都安装完毕了。</w:t>
      </w:r>
    </w:p>
    <w:p>
      <w:pPr>
        <w:spacing w:line="360" w:lineRule="auto"/>
        <w:ind w:firstLine="420" w:firstLineChars="200"/>
        <w:jc w:val="left"/>
      </w:pPr>
      <w:r>
        <w:t>其中证书Key驱动，需要把您的证书Key插好以后才可以检测出来。</w:t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5276850" cy="277177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line="360" w:lineRule="auto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ind w:left="1072" w:hanging="1072"/>
      </w:pPr>
      <w:bookmarkStart w:id="30" w:name="_Toc475977503"/>
      <w:bookmarkStart w:id="31" w:name="_Toc346701733"/>
      <w:bookmarkStart w:id="32" w:name="_Toc346183637"/>
      <w:r>
        <w:t>证书检测</w:t>
      </w:r>
      <w:bookmarkEnd w:id="30"/>
      <w:bookmarkEnd w:id="31"/>
      <w:bookmarkEnd w:id="32"/>
    </w:p>
    <w:p>
      <w:pPr>
        <w:pStyle w:val="26"/>
        <w:spacing w:line="360" w:lineRule="auto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3314700" cy="29908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用户可以点击“立即检测”，选择证书，输入Pin码，可以检测该证书Key是否可以正常使用。</w:t>
      </w:r>
    </w:p>
    <w:p>
      <w:pPr>
        <w:spacing w:line="360" w:lineRule="auto"/>
        <w:ind w:firstLine="420" w:firstLineChars="200"/>
        <w:jc w:val="left"/>
      </w:pPr>
      <w:r>
        <w:t>如果出现以下提示，则表示您的证书Key是可以正常使用的，如下图：</w:t>
      </w:r>
    </w:p>
    <w:p>
      <w:pPr>
        <w:pStyle w:val="26"/>
        <w:spacing w:line="360" w:lineRule="auto"/>
        <w:ind w:firstLine="0" w:firstLineChars="0"/>
        <w:jc w:val="center"/>
      </w:pPr>
      <w:r>
        <w:drawing>
          <wp:inline distT="0" distB="0" distL="0" distR="0">
            <wp:extent cx="3514725" cy="1657350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如果出现以下提示，则出错的原因可能是您的证书Key驱动没有装好或者是证书Key是无法使用的，需重新安装证书Key驱动，或者马上联系该项目CA进行更换。如下图：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429000" cy="1562100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pacing w:val="4"/>
        </w:rPr>
      </w:pPr>
    </w:p>
    <w:p>
      <w:pPr>
        <w:pStyle w:val="4"/>
        <w:ind w:left="1072" w:hanging="1072"/>
      </w:pPr>
      <w:bookmarkStart w:id="33" w:name="_Toc346701734"/>
      <w:bookmarkStart w:id="34" w:name="_Toc346183638"/>
      <w:bookmarkStart w:id="35" w:name="_Toc475977504"/>
      <w:r>
        <w:t>签章检测</w:t>
      </w:r>
      <w:bookmarkEnd w:id="33"/>
      <w:bookmarkEnd w:id="34"/>
      <w:bookmarkEnd w:id="35"/>
    </w:p>
    <w:p>
      <w:pPr>
        <w:spacing w:line="360" w:lineRule="auto"/>
        <w:jc w:val="center"/>
      </w:pPr>
      <w:r>
        <w:drawing>
          <wp:inline distT="0" distB="0" distL="0" distR="0">
            <wp:extent cx="5276850" cy="277177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此页面是用于测试证书Key是否可以正常盖章，请点击</w:t>
      </w:r>
      <w:r>
        <w:drawing>
          <wp:inline distT="0" distB="0" distL="0" distR="0">
            <wp:extent cx="285750" cy="295275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，在出现的窗口中，选择签章的名称和签章的模式，并输入您的证书Key的密码，点击确定按钮。</w:t>
      </w:r>
    </w:p>
    <w:p>
      <w:pPr>
        <w:pStyle w:val="26"/>
        <w:spacing w:line="360" w:lineRule="auto"/>
        <w:ind w:firstLine="153" w:firstLineChars="62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343150" cy="2838450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如果能成功加盖印章，并且有勾显示，则证明您的证书Key没有问题。</w:t>
      </w:r>
    </w:p>
    <w:p>
      <w:pPr>
        <w:pStyle w:val="26"/>
        <w:spacing w:line="360" w:lineRule="auto"/>
        <w:ind w:firstLine="153" w:firstLineChars="62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819400" cy="11430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如果出现其他的提示，请及时和该项目CA联系。</w:t>
      </w:r>
    </w:p>
    <w:p>
      <w:pPr>
        <w:spacing w:line="360" w:lineRule="auto"/>
        <w:ind w:firstLine="436" w:firstLineChars="200"/>
        <w:rPr>
          <w:spacing w:val="4"/>
        </w:rPr>
      </w:pPr>
    </w:p>
    <w:p>
      <w:pPr>
        <w:pStyle w:val="3"/>
      </w:pPr>
      <w:bookmarkStart w:id="36" w:name="_Toc346183639"/>
      <w:bookmarkStart w:id="37" w:name="_Toc346701735"/>
      <w:bookmarkStart w:id="38" w:name="_Toc475977505"/>
      <w:r>
        <w:t>浏览器配置</w:t>
      </w:r>
      <w:bookmarkEnd w:id="36"/>
      <w:bookmarkEnd w:id="37"/>
      <w:bookmarkEnd w:id="38"/>
    </w:p>
    <w:p>
      <w:pPr>
        <w:pStyle w:val="4"/>
        <w:ind w:left="1072" w:hanging="1072"/>
      </w:pPr>
      <w:bookmarkStart w:id="39" w:name="_Toc346701736"/>
      <w:bookmarkStart w:id="40" w:name="_Toc346183640"/>
      <w:bookmarkStart w:id="41" w:name="_Toc475977506"/>
      <w:r>
        <w:t>Internet选项</w:t>
      </w:r>
      <w:bookmarkEnd w:id="39"/>
      <w:bookmarkEnd w:id="40"/>
      <w:bookmarkEnd w:id="41"/>
    </w:p>
    <w:p>
      <w:pPr>
        <w:spacing w:line="360" w:lineRule="auto"/>
        <w:ind w:firstLine="420" w:firstLineChars="200"/>
        <w:jc w:val="left"/>
      </w:pPr>
      <w: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</w:pPr>
      <w:r>
        <w:t>1、打开浏览器，在“工具”菜单→“Internet选项”</w:t>
      </w:r>
      <w:r>
        <w:rPr>
          <w:rFonts w:hint="eastAsia"/>
        </w:rPr>
        <w:t>，</w:t>
      </w:r>
      <w:r>
        <w:t xml:space="preserve"> 如下图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38550" cy="3971925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895725" cy="3105150"/>
            <wp:effectExtent l="19050" t="0" r="9525" b="0"/>
            <wp:docPr id="2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</w:pPr>
      <w:r>
        <w:t>5、设置自定义安全级别，开放Activex的访问权限：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43300" cy="4200525"/>
            <wp:effectExtent l="19050" t="0" r="0" b="0"/>
            <wp:docPr id="2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4114800" cy="3829050"/>
            <wp:effectExtent l="19050" t="0" r="0" b="0"/>
            <wp:docPr id="2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42" w:name="_Toc475977507"/>
      <w:bookmarkStart w:id="43" w:name="_Toc346183641"/>
      <w:bookmarkStart w:id="44" w:name="_Toc346701737"/>
      <w:r>
        <w:t>关闭拦截工具</w:t>
      </w:r>
      <w:bookmarkEnd w:id="42"/>
      <w:bookmarkEnd w:id="43"/>
      <w:bookmarkEnd w:id="44"/>
    </w:p>
    <w:p>
      <w:pPr>
        <w:spacing w:line="360" w:lineRule="auto"/>
        <w:ind w:firstLine="420" w:firstLineChars="200"/>
        <w:jc w:val="left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26"/>
        <w:spacing w:line="360" w:lineRule="auto"/>
        <w:ind w:firstLine="0" w:firstLineChars="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b/>
          <w:szCs w:val="21"/>
        </w:rPr>
      </w:pPr>
    </w:p>
    <w:p>
      <w:pPr>
        <w:pStyle w:val="2"/>
        <w:tabs>
          <w:tab w:val="left" w:pos="425"/>
        </w:tabs>
      </w:pPr>
      <w:bookmarkStart w:id="45" w:name="_Toc291693434"/>
      <w:bookmarkStart w:id="46" w:name="_Toc346701738"/>
      <w:bookmarkStart w:id="47" w:name="_Toc475977508"/>
      <w:r>
        <w:t>采购业务</w:t>
      </w:r>
      <w:bookmarkEnd w:id="45"/>
      <w:bookmarkEnd w:id="46"/>
      <w:bookmarkEnd w:id="47"/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1、登录交易平台会员端，如下图：</w:t>
      </w:r>
    </w:p>
    <w:p>
      <w:r>
        <w:drawing>
          <wp:inline distT="0" distB="0" distL="0" distR="0">
            <wp:extent cx="5274310" cy="2416810"/>
            <wp:effectExtent l="19050" t="0" r="2540" b="0"/>
            <wp:docPr id="2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、填写登录名和密码登录交易平台，如下图：</w:t>
      </w:r>
    </w:p>
    <w:p>
      <w:r>
        <w:drawing>
          <wp:inline distT="0" distB="0" distL="0" distR="0">
            <wp:extent cx="5274310" cy="1877695"/>
            <wp:effectExtent l="19050" t="0" r="2540" b="0"/>
            <wp:docPr id="2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tabs>
          <w:tab w:val="left" w:pos="567"/>
        </w:tabs>
      </w:pPr>
      <w:bookmarkStart w:id="48" w:name="_Toc475977509"/>
      <w:r>
        <w:rPr>
          <w:rFonts w:hint="eastAsia"/>
        </w:rPr>
        <w:t>填写投标信息</w:t>
      </w:r>
      <w:bookmarkEnd w:id="48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供应商报名。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</w:t>
      </w:r>
      <w:r>
        <w:rPr>
          <w:rFonts w:hint="eastAsia"/>
        </w:rPr>
        <w:t>填写投标信息</w:t>
      </w:r>
      <w:r>
        <w:t>”，供应商可以进行网上报名，如下图：</w:t>
      </w:r>
    </w:p>
    <w:p>
      <w:pPr>
        <w:spacing w:line="360" w:lineRule="auto"/>
        <w:rPr>
          <w:szCs w:val="21"/>
        </w:rPr>
      </w:pPr>
      <w:r>
        <w:drawing>
          <wp:inline distT="0" distB="0" distL="114300" distR="114300">
            <wp:extent cx="5262245" cy="1805940"/>
            <wp:effectExtent l="0" t="0" r="14605" b="381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操作列“操作</w:t>
      </w:r>
      <w:r>
        <w:t>”按钮，进入报名页面。</w:t>
      </w:r>
    </w:p>
    <w:p>
      <w:pPr>
        <w:jc w:val="left"/>
        <w:rPr>
          <w:spacing w:val="4"/>
        </w:rPr>
      </w:pPr>
      <w:r>
        <w:drawing>
          <wp:inline distT="0" distB="0" distL="114300" distR="114300">
            <wp:extent cx="5264785" cy="1631950"/>
            <wp:effectExtent l="0" t="0" r="12065" b="635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点击</w:t>
      </w:r>
      <w:r>
        <w:rPr>
          <w:rFonts w:hint="eastAsia"/>
        </w:rPr>
        <w:t>“新增报名”</w:t>
      </w:r>
      <w:r>
        <w:t>按钮，完成报名登记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71135" cy="2209165"/>
            <wp:effectExtent l="0" t="0" r="5715" b="63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“打印回执码”</w:t>
      </w:r>
      <w:r>
        <w:t>按钮，可打印报名回执</w:t>
      </w:r>
      <w:r>
        <w:rPr>
          <w:rFonts w:hint="eastAsia"/>
        </w:rPr>
        <w:t>码，如下图：</w:t>
      </w:r>
    </w:p>
    <w:p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spacing w:val="4"/>
        </w:rPr>
        <w:drawing>
          <wp:inline distT="0" distB="0" distL="0" distR="0">
            <wp:extent cx="5274310" cy="4289425"/>
            <wp:effectExtent l="19050" t="0" r="2540" b="0"/>
            <wp:docPr id="24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7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spacing w:val="4"/>
        </w:rPr>
        <w:drawing>
          <wp:inline distT="0" distB="0" distL="0" distR="0">
            <wp:extent cx="5274310" cy="2891155"/>
            <wp:effectExtent l="19050" t="0" r="2540" b="0"/>
            <wp:docPr id="24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7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5、报名成功后，状态变为已报名。如下图：</w:t>
      </w:r>
    </w:p>
    <w:p>
      <w:pPr>
        <w:spacing w:line="360" w:lineRule="auto"/>
        <w:jc w:val="left"/>
        <w:rPr>
          <w:rFonts w:hAnsi="宋体"/>
          <w:spacing w:val="4"/>
        </w:rPr>
      </w:pPr>
      <w:r>
        <w:drawing>
          <wp:inline distT="0" distB="0" distL="114300" distR="114300">
            <wp:extent cx="5269865" cy="1744980"/>
            <wp:effectExtent l="0" t="0" r="6985" b="762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tabs>
          <w:tab w:val="left" w:pos="567"/>
        </w:tabs>
      </w:pPr>
      <w:bookmarkStart w:id="49" w:name="_Toc291693436"/>
      <w:bookmarkStart w:id="50" w:name="_Toc346701740"/>
      <w:bookmarkStart w:id="51" w:name="_Toc475977510"/>
      <w:r>
        <w:rPr>
          <w:rFonts w:hint="eastAsia"/>
        </w:rPr>
        <w:t>交易</w:t>
      </w:r>
      <w:r>
        <w:t>文件下载</w:t>
      </w:r>
      <w:bookmarkEnd w:id="49"/>
      <w:bookmarkEnd w:id="50"/>
      <w:bookmarkEnd w:id="5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供应商下载招标文件。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</w:t>
      </w:r>
      <w:r>
        <w:rPr>
          <w:rFonts w:hint="eastAsia"/>
        </w:rPr>
        <w:t>交易</w:t>
      </w:r>
      <w:r>
        <w:t>文件下载”，供应商可以下载招标文件，如下图：</w:t>
      </w:r>
    </w:p>
    <w:p>
      <w:pPr>
        <w:spacing w:line="360" w:lineRule="auto"/>
      </w:pPr>
      <w:r>
        <w:drawing>
          <wp:inline distT="0" distB="0" distL="114300" distR="114300">
            <wp:extent cx="5274310" cy="1779905"/>
            <wp:effectExtent l="0" t="0" r="2540" b="1079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color w:val="FF0000"/>
        </w:rPr>
        <w:t>供应商可以对已报名的采购业务，下载招标文件。</w:t>
      </w:r>
    </w:p>
    <w:p>
      <w:pPr>
        <w:spacing w:line="360" w:lineRule="auto"/>
        <w:ind w:firstLine="436" w:firstLineChars="200"/>
        <w:jc w:val="left"/>
        <w:rPr>
          <w:color w:val="FF0000"/>
          <w:spacing w:val="4"/>
        </w:rPr>
      </w:pPr>
    </w:p>
    <w:p>
      <w:pPr>
        <w:pStyle w:val="29"/>
        <w:numPr>
          <w:ilvl w:val="0"/>
          <w:numId w:val="2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招标文件下载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领取列“领取”</w:t>
      </w:r>
      <w:r>
        <w:t>按钮，进入下载页面。</w:t>
      </w:r>
    </w:p>
    <w:p>
      <w:pPr>
        <w:spacing w:line="360" w:lineRule="auto"/>
        <w:rPr>
          <w:b/>
        </w:rPr>
      </w:pPr>
      <w:r>
        <w:drawing>
          <wp:inline distT="0" distB="0" distL="114300" distR="114300">
            <wp:extent cx="5274310" cy="1918335"/>
            <wp:effectExtent l="0" t="0" r="2540" b="571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下载资格确定有两种形式，一种是网上支付，另一种是中心确认。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“网上支付”</w:t>
      </w:r>
      <w:r>
        <w:t>按钮，进行网上支付标书费用</w:t>
      </w:r>
      <w:r>
        <w:rPr>
          <w:rFonts w:hint="eastAsia"/>
        </w:rPr>
        <w:t>：</w:t>
      </w:r>
    </w:p>
    <w:p>
      <w:pPr>
        <w:spacing w:line="360" w:lineRule="auto"/>
      </w:pPr>
    </w:p>
    <w:p>
      <w:pPr>
        <w:spacing w:line="360" w:lineRule="auto"/>
        <w:ind w:firstLine="420" w:firstLineChars="200"/>
        <w:jc w:val="left"/>
      </w:pPr>
      <w:r>
        <w:t>按提示进行支付费用，获得下载资格。然后点击</w:t>
      </w:r>
      <w:r>
        <w:rPr>
          <w:rFonts w:hint="eastAsia"/>
        </w:rPr>
        <w:t>“下载招投标文件”</w:t>
      </w:r>
      <w:r>
        <w:t>按钮，进行下载。也可以点击</w:t>
      </w:r>
      <w:r>
        <w:rPr>
          <w:rFonts w:hint="eastAsia"/>
        </w:rPr>
        <w:t>“查看支付情况”</w:t>
      </w:r>
      <w:r>
        <w:t>按钮，查看支付情况。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中心确认后，供应商可直接点击</w:t>
      </w:r>
      <w:r>
        <w:rPr>
          <w:rFonts w:hint="eastAsia"/>
        </w:rPr>
        <w:t>“下载招投标文件”</w:t>
      </w:r>
      <w:r>
        <w:t>按钮，进行下载。</w:t>
      </w:r>
    </w:p>
    <w:p>
      <w:pPr>
        <w:spacing w:line="360" w:lineRule="auto"/>
        <w:rPr>
          <w:b/>
        </w:rPr>
      </w:pPr>
    </w:p>
    <w:p>
      <w:pPr>
        <w:pStyle w:val="3"/>
        <w:tabs>
          <w:tab w:val="left" w:pos="567"/>
        </w:tabs>
      </w:pPr>
      <w:bookmarkStart w:id="52" w:name="_Toc346701741"/>
      <w:bookmarkStart w:id="53" w:name="_Toc291693437"/>
      <w:bookmarkStart w:id="54" w:name="_Toc475977511"/>
      <w:r>
        <w:t>网上提问</w:t>
      </w:r>
      <w:bookmarkEnd w:id="52"/>
      <w:bookmarkEnd w:id="53"/>
      <w:bookmarkEnd w:id="54"/>
    </w:p>
    <w:p>
      <w:pPr>
        <w:spacing w:line="360" w:lineRule="auto"/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条目组建已完成。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供应商对报名标段提问。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进入菜单“采购业务—网上提问”，如下图：</w:t>
      </w:r>
    </w:p>
    <w:p>
      <w:pPr>
        <w:spacing w:line="360" w:lineRule="auto"/>
      </w:pPr>
      <w:r>
        <w:drawing>
          <wp:inline distT="0" distB="0" distL="114300" distR="114300">
            <wp:extent cx="5269865" cy="1381125"/>
            <wp:effectExtent l="0" t="0" r="6985" b="952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9"/>
        <w:numPr>
          <w:ilvl w:val="0"/>
          <w:numId w:val="2"/>
        </w:numPr>
        <w:spacing w:line="360" w:lineRule="auto"/>
        <w:ind w:firstLineChars="0"/>
        <w:jc w:val="left"/>
        <w:rPr>
          <w:rFonts w:hAnsi="宋体"/>
          <w:spacing w:val="4"/>
        </w:rPr>
      </w:pPr>
      <w:r>
        <w:rPr>
          <w:b/>
        </w:rPr>
        <w:t>网上提问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“新增提问”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  <w:rPr>
          <w:b/>
        </w:rPr>
      </w:pPr>
      <w:r>
        <w:rPr>
          <w:b/>
        </w:rPr>
        <w:drawing>
          <wp:inline distT="0" distB="0" distL="0" distR="0">
            <wp:extent cx="5274310" cy="2387600"/>
            <wp:effectExtent l="1905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选择列</w:t>
      </w:r>
      <w:r>
        <w:rPr>
          <w:rFonts w:hint="eastAsia"/>
        </w:rPr>
        <w:drawing>
          <wp:inline distT="0" distB="0" distL="0" distR="0">
            <wp:extent cx="228600" cy="200025"/>
            <wp:effectExtent l="1905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按钮录入选中标段。</w:t>
      </w:r>
    </w:p>
    <w:p>
      <w:pPr>
        <w:spacing w:line="360" w:lineRule="auto"/>
        <w:rPr>
          <w:b/>
        </w:rPr>
      </w:pPr>
      <w:r>
        <w:drawing>
          <wp:inline distT="0" distB="0" distL="114300" distR="114300">
            <wp:extent cx="5273040" cy="2226310"/>
            <wp:effectExtent l="0" t="0" r="3810" b="254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输入问题描述等信息后，点击</w:t>
      </w:r>
      <w:r>
        <w:rPr>
          <w:rFonts w:hint="eastAsia"/>
        </w:rPr>
        <w:t>“确定发送”</w:t>
      </w:r>
      <w:r>
        <w:t>按钮，将问题提交给中心人员解答。</w:t>
      </w:r>
      <w:r>
        <w:rPr>
          <w:rFonts w:hint="eastAsia"/>
        </w:rPr>
        <w:t>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71770" cy="2186940"/>
            <wp:effectExtent l="0" t="0" r="5080" b="381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等中心人员解答后，可点击</w:t>
      </w:r>
      <w:r>
        <w:rPr>
          <w:rFonts w:hint="eastAsia"/>
        </w:rPr>
        <w:t>“查看”</w:t>
      </w:r>
      <w:r>
        <w:t>按钮，查看回复信息。</w:t>
      </w:r>
      <w:r>
        <w:rPr>
          <w:rFonts w:hint="eastAsia"/>
        </w:rPr>
        <w:t>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6055" cy="1682750"/>
            <wp:effectExtent l="0" t="0" r="10795" b="1270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tabs>
          <w:tab w:val="left" w:pos="567"/>
        </w:tabs>
      </w:pPr>
      <w:bookmarkStart w:id="55" w:name="_Toc291693438"/>
      <w:bookmarkStart w:id="56" w:name="_Toc475977512"/>
      <w:bookmarkStart w:id="57" w:name="_Toc346701742"/>
      <w:r>
        <w:t>答疑文件下载</w:t>
      </w:r>
      <w:bookmarkEnd w:id="55"/>
      <w:bookmarkEnd w:id="56"/>
      <w:bookmarkEnd w:id="57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答疑文件已经审核通过。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供应商下载答疑文件。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进入菜单“采购业务—答疑文件下载”，如下图：</w:t>
      </w:r>
    </w:p>
    <w:p>
      <w:pPr>
        <w:spacing w:line="360" w:lineRule="auto"/>
      </w:pPr>
      <w:r>
        <w:drawing>
          <wp:inline distT="0" distB="0" distL="114300" distR="114300">
            <wp:extent cx="5263515" cy="1651000"/>
            <wp:effectExtent l="0" t="0" r="13335" b="635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color w:val="FF0000"/>
        </w:rPr>
        <w:t>注：供应商下载过招标文件后，才可下载答疑文件。</w:t>
      </w:r>
    </w:p>
    <w:p>
      <w:pPr>
        <w:spacing w:line="360" w:lineRule="auto"/>
        <w:ind w:firstLine="436" w:firstLineChars="200"/>
        <w:jc w:val="left"/>
        <w:rPr>
          <w:color w:val="FF0000"/>
          <w:spacing w:val="4"/>
        </w:rPr>
      </w:pPr>
    </w:p>
    <w:p>
      <w:pPr>
        <w:pStyle w:val="29"/>
        <w:numPr>
          <w:ilvl w:val="0"/>
          <w:numId w:val="2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答疑文件下载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“领取”</w:t>
      </w:r>
      <w:r>
        <w:t>按钮，进入下载页面，进行下载。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drawing>
          <wp:inline distT="0" distB="0" distL="0" distR="0">
            <wp:extent cx="5274310" cy="2092960"/>
            <wp:effectExtent l="19050" t="0" r="254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2、点击下载按钮，进行答疑文件下载。</w:t>
      </w:r>
    </w:p>
    <w:p>
      <w:pPr>
        <w:spacing w:line="360" w:lineRule="auto"/>
      </w:pPr>
    </w:p>
    <w:p>
      <w:pPr>
        <w:pStyle w:val="3"/>
        <w:tabs>
          <w:tab w:val="left" w:pos="567"/>
        </w:tabs>
      </w:pPr>
      <w:bookmarkStart w:id="58" w:name="_Toc291693439"/>
      <w:bookmarkStart w:id="59" w:name="_Toc475977513"/>
      <w:bookmarkStart w:id="60" w:name="_Toc346701743"/>
      <w:r>
        <w:t>上传</w:t>
      </w:r>
      <w:r>
        <w:rPr>
          <w:rFonts w:hint="eastAsia"/>
        </w:rPr>
        <w:t>响应</w:t>
      </w:r>
      <w:r>
        <w:t>文件</w:t>
      </w:r>
      <w:bookmarkEnd w:id="58"/>
      <w:bookmarkEnd w:id="59"/>
      <w:bookmarkEnd w:id="60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供应商上传投标文件。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进入菜单“采购业务—上传</w:t>
      </w:r>
      <w:r>
        <w:rPr>
          <w:rFonts w:hint="eastAsia"/>
        </w:rPr>
        <w:t>响应</w:t>
      </w:r>
      <w:r>
        <w:t>文件”，如下图：</w:t>
      </w:r>
    </w:p>
    <w:p>
      <w:pPr>
        <w:spacing w:line="360" w:lineRule="auto"/>
      </w:pPr>
      <w:r>
        <w:drawing>
          <wp:inline distT="0" distB="0" distL="114300" distR="114300">
            <wp:extent cx="5272405" cy="1694815"/>
            <wp:effectExtent l="0" t="0" r="4445" b="635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29"/>
        <w:numPr>
          <w:ilvl w:val="0"/>
          <w:numId w:val="2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文件上传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“上传”</w:t>
      </w:r>
      <w:r>
        <w:t>按钮，进入</w:t>
      </w:r>
      <w:r>
        <w:rPr>
          <w:rFonts w:hint="eastAsia"/>
        </w:rPr>
        <w:t>响应</w:t>
      </w:r>
      <w:r>
        <w:t>文件上传页面。</w:t>
      </w:r>
    </w:p>
    <w:p>
      <w:pPr>
        <w:spacing w:line="360" w:lineRule="auto"/>
      </w:pPr>
      <w:r>
        <w:drawing>
          <wp:inline distT="0" distB="0" distL="0" distR="0">
            <wp:extent cx="5267325" cy="2209800"/>
            <wp:effectExtent l="19050" t="0" r="9525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tabs>
          <w:tab w:val="left" w:pos="567"/>
        </w:tabs>
      </w:pPr>
      <w:bookmarkStart w:id="61" w:name="_Toc475977514"/>
      <w:r>
        <w:rPr>
          <w:rFonts w:hint="eastAsia"/>
        </w:rPr>
        <w:t>开标签到解密</w:t>
      </w:r>
      <w:bookmarkEnd w:id="61"/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供查看开标签到解密信息。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</w:t>
      </w:r>
      <w:r>
        <w:rPr>
          <w:rFonts w:hint="eastAsia"/>
        </w:rPr>
        <w:t>开标签到解密</w:t>
      </w:r>
      <w:r>
        <w:t>”，如下图：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1573530"/>
            <wp:effectExtent l="0" t="0" r="6985" b="7620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"/>
        </w:tabs>
      </w:pPr>
      <w:bookmarkStart w:id="62" w:name="_Toc475977515"/>
      <w:r>
        <w:rPr>
          <w:rFonts w:hint="eastAsia"/>
        </w:rPr>
        <w:t>澄清答复</w:t>
      </w:r>
      <w:bookmarkEnd w:id="62"/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供查看澄清答复信息。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</w:t>
      </w:r>
      <w:r>
        <w:rPr>
          <w:rFonts w:hint="eastAsia"/>
        </w:rPr>
        <w:t>澄清答复</w:t>
      </w:r>
      <w:r>
        <w:t>”，</w:t>
      </w:r>
      <w:r>
        <w:rPr>
          <w:rFonts w:hint="eastAsia"/>
        </w:rPr>
        <w:t>可查看未答复和已答复信息，</w:t>
      </w:r>
      <w:r>
        <w:t>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1770" cy="1597025"/>
            <wp:effectExtent l="0" t="0" r="5080" b="3175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567"/>
        </w:tabs>
      </w:pPr>
      <w:bookmarkStart w:id="63" w:name="_Toc475977516"/>
      <w:r>
        <w:rPr>
          <w:rFonts w:hint="eastAsia"/>
        </w:rPr>
        <w:t>报价参与</w:t>
      </w:r>
      <w:bookmarkEnd w:id="63"/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供查看报价参与信息。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</w:t>
      </w:r>
      <w:r>
        <w:rPr>
          <w:rFonts w:hint="eastAsia"/>
        </w:rPr>
        <w:t>报价参与</w:t>
      </w:r>
      <w:r>
        <w:t>”，</w:t>
      </w:r>
      <w:r>
        <w:rPr>
          <w:rFonts w:hint="eastAsia"/>
        </w:rPr>
        <w:t>可查看报价中项目和历史报价项目，</w:t>
      </w:r>
      <w:r>
        <w:t>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040" cy="1562100"/>
            <wp:effectExtent l="0" t="0" r="3810" b="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single" w:color="9BBB59" w:sz="24" w:space="5"/>
      </w:pBdr>
      <w:wordWrap w:val="0"/>
      <w:jc w:val="right"/>
      <w:rPr>
        <w:i/>
        <w:iCs/>
        <w:color w:val="8C8C8C"/>
      </w:rPr>
    </w:pPr>
    <w:bookmarkStart w:id="64" w:name="_GoBack"/>
    <w:bookmarkEnd w:id="64"/>
    <w:r>
      <w:rPr>
        <w:rFonts w:hint="eastAsia"/>
      </w:rPr>
      <w:t xml:space="preserve">             </w:t>
    </w:r>
    <w:r>
      <w:fldChar w:fldCharType="begin"/>
    </w:r>
    <w:r>
      <w:instrText xml:space="preserve"> PAGE </w:instrText>
    </w:r>
    <w:r>
      <w:fldChar w:fldCharType="separate"/>
    </w:r>
    <w:r>
      <w:t>18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2</w:t>
    </w:r>
    <w:r>
      <w:rPr>
        <w:rFonts w:hint="eastAsia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thickThinSmallGap" w:color="622423" w:sz="24" w:space="1"/>
      </w:pBdr>
      <w:jc w:val="left"/>
      <w:rPr>
        <w:rFonts w:ascii="Cambria" w:hAnsi="Cambr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7DBF54BE"/>
    <w:multiLevelType w:val="multilevel"/>
    <w:tmpl w:val="7DBF54BE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A5C"/>
    <w:rsid w:val="0006707E"/>
    <w:rsid w:val="00086601"/>
    <w:rsid w:val="000A49E0"/>
    <w:rsid w:val="000D5A14"/>
    <w:rsid w:val="00114765"/>
    <w:rsid w:val="00166849"/>
    <w:rsid w:val="00167AE8"/>
    <w:rsid w:val="00171324"/>
    <w:rsid w:val="00191E45"/>
    <w:rsid w:val="001B6D86"/>
    <w:rsid w:val="002259EE"/>
    <w:rsid w:val="00226B50"/>
    <w:rsid w:val="0023741D"/>
    <w:rsid w:val="00267C95"/>
    <w:rsid w:val="00326558"/>
    <w:rsid w:val="00365160"/>
    <w:rsid w:val="00377CD5"/>
    <w:rsid w:val="0038399D"/>
    <w:rsid w:val="003B6268"/>
    <w:rsid w:val="003B66FA"/>
    <w:rsid w:val="00427BF6"/>
    <w:rsid w:val="004318D7"/>
    <w:rsid w:val="00440E3F"/>
    <w:rsid w:val="004504F6"/>
    <w:rsid w:val="00457AE4"/>
    <w:rsid w:val="00491164"/>
    <w:rsid w:val="004A6CAC"/>
    <w:rsid w:val="004A7D79"/>
    <w:rsid w:val="004D31DB"/>
    <w:rsid w:val="00511D0A"/>
    <w:rsid w:val="00541047"/>
    <w:rsid w:val="005630CC"/>
    <w:rsid w:val="00585C74"/>
    <w:rsid w:val="005E20DE"/>
    <w:rsid w:val="00600036"/>
    <w:rsid w:val="006002D3"/>
    <w:rsid w:val="00623897"/>
    <w:rsid w:val="006349F1"/>
    <w:rsid w:val="006A187C"/>
    <w:rsid w:val="006C7BF0"/>
    <w:rsid w:val="006D2F3A"/>
    <w:rsid w:val="006E7B7F"/>
    <w:rsid w:val="00704EFF"/>
    <w:rsid w:val="00760ECF"/>
    <w:rsid w:val="00774BE6"/>
    <w:rsid w:val="0079152B"/>
    <w:rsid w:val="007B2F78"/>
    <w:rsid w:val="007E6A63"/>
    <w:rsid w:val="00877DCD"/>
    <w:rsid w:val="008F246A"/>
    <w:rsid w:val="00913239"/>
    <w:rsid w:val="00963930"/>
    <w:rsid w:val="00981BA9"/>
    <w:rsid w:val="009A21B5"/>
    <w:rsid w:val="009D342A"/>
    <w:rsid w:val="009E2A97"/>
    <w:rsid w:val="00A06BAE"/>
    <w:rsid w:val="00A16364"/>
    <w:rsid w:val="00AA46CB"/>
    <w:rsid w:val="00AB629E"/>
    <w:rsid w:val="00AB7C94"/>
    <w:rsid w:val="00B34ACE"/>
    <w:rsid w:val="00B544E0"/>
    <w:rsid w:val="00B62C4A"/>
    <w:rsid w:val="00C0057A"/>
    <w:rsid w:val="00C92A5C"/>
    <w:rsid w:val="00CA5581"/>
    <w:rsid w:val="00CF30CF"/>
    <w:rsid w:val="00D209ED"/>
    <w:rsid w:val="00D85074"/>
    <w:rsid w:val="00DE7A4D"/>
    <w:rsid w:val="00E641D9"/>
    <w:rsid w:val="00EF3CC9"/>
    <w:rsid w:val="00F47EF1"/>
    <w:rsid w:val="00F47F49"/>
    <w:rsid w:val="00FA023C"/>
    <w:rsid w:val="00FB20EA"/>
    <w:rsid w:val="00FC5966"/>
    <w:rsid w:val="00FD54CB"/>
    <w:rsid w:val="00FD576F"/>
    <w:rsid w:val="024875E4"/>
    <w:rsid w:val="04EA2C35"/>
    <w:rsid w:val="1DCF2D5C"/>
    <w:rsid w:val="29BC1A88"/>
    <w:rsid w:val="31B4476C"/>
    <w:rsid w:val="374F6125"/>
    <w:rsid w:val="47A735F1"/>
    <w:rsid w:val="4A893A30"/>
    <w:rsid w:val="5149169E"/>
    <w:rsid w:val="5EC525BE"/>
    <w:rsid w:val="7466522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22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3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15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ocument Map"/>
    <w:basedOn w:val="1"/>
    <w:link w:val="27"/>
    <w:unhideWhenUsed/>
    <w:qFormat/>
    <w:uiPriority w:val="99"/>
    <w:rPr>
      <w:rFonts w:ascii="宋体"/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10">
    <w:name w:val="Balloon Text"/>
    <w:basedOn w:val="1"/>
    <w:link w:val="28"/>
    <w:unhideWhenUsed/>
    <w:uiPriority w:val="99"/>
    <w:rPr>
      <w:sz w:val="18"/>
      <w:szCs w:val="18"/>
    </w:rPr>
  </w:style>
  <w:style w:type="paragraph" w:styleId="11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120" w:after="120"/>
      <w:ind w:left="200" w:hanging="200" w:hangingChars="200"/>
      <w:jc w:val="left"/>
    </w:pPr>
    <w:rPr>
      <w:rFonts w:cs="Calibri"/>
      <w:bCs/>
      <w:caps/>
      <w:szCs w:val="20"/>
    </w:rPr>
  </w:style>
  <w:style w:type="paragraph" w:styleId="14">
    <w:name w:val="toc 2"/>
    <w:basedOn w:val="1"/>
    <w:next w:val="1"/>
    <w:unhideWhenUsed/>
    <w:qFormat/>
    <w:uiPriority w:val="39"/>
    <w:pPr>
      <w:ind w:left="340"/>
      <w:jc w:val="left"/>
    </w:pPr>
    <w:rPr>
      <w:rFonts w:cs="Calibri"/>
      <w:smallCaps/>
      <w:szCs w:val="20"/>
    </w:rPr>
  </w:style>
  <w:style w:type="character" w:styleId="16">
    <w:name w:val="Hyperlink"/>
    <w:basedOn w:val="15"/>
    <w:unhideWhenUsed/>
    <w:qFormat/>
    <w:uiPriority w:val="99"/>
    <w:rPr>
      <w:color w:val="0000FF"/>
      <w:u w:val="single"/>
    </w:rPr>
  </w:style>
  <w:style w:type="character" w:customStyle="1" w:styleId="18">
    <w:name w:val="标题 1 Char"/>
    <w:basedOn w:val="15"/>
    <w:link w:val="2"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9">
    <w:name w:val="标题 2 Char"/>
    <w:basedOn w:val="15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0">
    <w:name w:val="标题 3 Char"/>
    <w:basedOn w:val="15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1">
    <w:name w:val="标题 4 Char"/>
    <w:basedOn w:val="15"/>
    <w:link w:val="5"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22">
    <w:name w:val="标题 5 Char"/>
    <w:basedOn w:val="15"/>
    <w:link w:val="6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6 Char"/>
    <w:basedOn w:val="15"/>
    <w:link w:val="7"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24">
    <w:name w:val="页眉 Char"/>
    <w:basedOn w:val="15"/>
    <w:link w:val="12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5">
    <w:name w:val="页脚 Char"/>
    <w:basedOn w:val="15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6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27">
    <w:name w:val="文档结构图 Char"/>
    <w:basedOn w:val="15"/>
    <w:link w:val="8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8">
    <w:name w:val="批注框文本 Char"/>
    <w:basedOn w:val="15"/>
    <w:link w:val="10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9">
    <w:name w:val="列出段落1"/>
    <w:basedOn w:val="1"/>
    <w:qFormat/>
    <w:uiPriority w:val="34"/>
    <w:pPr>
      <w:ind w:firstLine="420" w:firstLineChars="200"/>
    </w:pPr>
  </w:style>
  <w:style w:type="paragraph" w:customStyle="1" w:styleId="30">
    <w:name w:val="样式1"/>
    <w:basedOn w:val="1"/>
    <w:link w:val="31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31">
    <w:name w:val="样式1 Char"/>
    <w:link w:val="30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32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9" Type="http://schemas.openxmlformats.org/officeDocument/2006/relationships/fontTable" Target="fontTable.xml"/><Relationship Id="rId68" Type="http://schemas.openxmlformats.org/officeDocument/2006/relationships/customXml" Target="../customXml/item2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8CEEA0-993A-4D6E-AC97-FC3544F330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702</Words>
  <Characters>4008</Characters>
  <Lines>33</Lines>
  <Paragraphs>9</Paragraphs>
  <TotalTime>0</TotalTime>
  <ScaleCrop>false</ScaleCrop>
  <LinksUpToDate>false</LinksUpToDate>
  <CharactersWithSpaces>4701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2014-05-07T02:25:00Z</dcterms:created>
  <dc:creator>NTKO</dc:creator>
  <cp:lastModifiedBy>系统管理员</cp:lastModifiedBy>
  <dcterms:modified xsi:type="dcterms:W3CDTF">2018-04-02T03:23:36Z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